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E05E3" w:rsidRDefault="00383A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Vasútijármű-technikus és diagnosztikus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E502D5">
        <w:rPr>
          <w:sz w:val="28"/>
          <w:szCs w:val="28"/>
        </w:rPr>
        <w:t xml:space="preserve"> </w:t>
      </w:r>
      <w:r w:rsidR="00383AF2">
        <w:rPr>
          <w:sz w:val="28"/>
          <w:szCs w:val="28"/>
        </w:rPr>
        <w:t>55 525 04</w:t>
      </w:r>
      <w:r w:rsidR="00255DB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B69B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69B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B69B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69B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B69B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69B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B69B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B69B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4C7A3C" w:rsidRDefault="004C7A3C" w:rsidP="004C7A3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776"/>
        <w:gridCol w:w="4682"/>
        <w:gridCol w:w="842"/>
        <w:gridCol w:w="923"/>
        <w:gridCol w:w="1367"/>
      </w:tblGrid>
      <w:tr w:rsidR="00090A1B" w:rsidTr="00DB2E4D">
        <w:trPr>
          <w:cantSplit/>
          <w:tblHeader/>
        </w:trPr>
        <w:tc>
          <w:tcPr>
            <w:tcW w:w="23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2" w:type="dxa"/>
            <w:vMerge w:val="restart"/>
            <w:vAlign w:val="center"/>
          </w:tcPr>
          <w:p w:rsidR="00C6286A" w:rsidRPr="00C44D63" w:rsidRDefault="00512211" w:rsidP="00C44D63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B2E4D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7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2" w:type="dxa"/>
            <w:vMerge/>
          </w:tcPr>
          <w:p w:rsidR="00090A1B" w:rsidRPr="00AA2B5E" w:rsidRDefault="00090A1B" w:rsidP="00CA67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DB2E4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93ACD" w:rsidRPr="006516CC" w:rsidRDefault="00135E67" w:rsidP="00090A1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4682" w:type="dxa"/>
            <w:vAlign w:val="center"/>
          </w:tcPr>
          <w:p w:rsidR="00D93ACD" w:rsidRDefault="006516CC" w:rsidP="00CA67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11995</w:t>
            </w:r>
          </w:p>
          <w:p w:rsidR="006516CC" w:rsidRPr="00AE065A" w:rsidRDefault="006516CC" w:rsidP="00CA67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Vasútijármű-technikus és diagnosztikus</w:t>
            </w:r>
            <w:r w:rsidR="005448D0">
              <w:rPr>
                <w:b/>
                <w:sz w:val="28"/>
                <w:szCs w:val="28"/>
              </w:rPr>
              <w:t xml:space="preserve"> feladatai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C44D63" w:rsidTr="00DB2E4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C44D63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3F3D20" w:rsidRPr="00C44D63" w:rsidRDefault="006516CC" w:rsidP="00090A1B">
            <w:pPr>
              <w:jc w:val="center"/>
              <w:rPr>
                <w:sz w:val="24"/>
                <w:szCs w:val="24"/>
              </w:rPr>
            </w:pPr>
            <w:r w:rsidRPr="00C44D63">
              <w:rPr>
                <w:sz w:val="24"/>
                <w:szCs w:val="24"/>
              </w:rPr>
              <w:t>208</w:t>
            </w:r>
          </w:p>
        </w:tc>
        <w:tc>
          <w:tcPr>
            <w:tcW w:w="4682" w:type="dxa"/>
            <w:vAlign w:val="center"/>
          </w:tcPr>
          <w:p w:rsidR="003F3D20" w:rsidRPr="00C44D63" w:rsidRDefault="006516CC" w:rsidP="00CA67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D63">
              <w:rPr>
                <w:sz w:val="24"/>
                <w:szCs w:val="24"/>
              </w:rPr>
              <w:t>Állapotvizsgálati és járműdiagnosztikai gyakorlatok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3F3D20" w:rsidRPr="00C44D63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DB2E4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93ACD" w:rsidRPr="006516CC" w:rsidRDefault="00DB2E4D" w:rsidP="00090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82" w:type="dxa"/>
            <w:vAlign w:val="center"/>
          </w:tcPr>
          <w:p w:rsidR="00D93ACD" w:rsidRPr="00567BE7" w:rsidRDefault="00DB2E4D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működéspróbák tervezése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090A1B" w:rsidRPr="00AE065A" w:rsidRDefault="00411F6A" w:rsidP="001503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1F6A">
              <w:rPr>
                <w:sz w:val="20"/>
                <w:szCs w:val="20"/>
              </w:rPr>
              <w:t>A járműpróbák tartalmi elemei:</w:t>
            </w:r>
            <w:r w:rsidR="0015033B">
              <w:rPr>
                <w:sz w:val="20"/>
                <w:szCs w:val="20"/>
              </w:rPr>
              <w:t xml:space="preserve"> a</w:t>
            </w:r>
            <w:r w:rsidRPr="00411F6A">
              <w:rPr>
                <w:sz w:val="20"/>
                <w:szCs w:val="20"/>
              </w:rPr>
              <w:t>z üzembe helyezés előtti próbák során végrehajtható műveletek, az üzembe helyezett állapotban történő próbák során végrehajtható műveletek, a vonali próbák során végrehajtható műveletek.</w:t>
            </w:r>
            <w:r w:rsidR="0015033B">
              <w:rPr>
                <w:sz w:val="20"/>
                <w:szCs w:val="20"/>
              </w:rPr>
              <w:t xml:space="preserve"> </w:t>
            </w:r>
            <w:r w:rsidRPr="00411F6A">
              <w:rPr>
                <w:sz w:val="20"/>
                <w:szCs w:val="20"/>
              </w:rPr>
              <w:t>A járműpróbák során nyerhető információk, megállapítások.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DB2E4D">
        <w:trPr>
          <w:trHeight w:val="794"/>
        </w:trPr>
        <w:tc>
          <w:tcPr>
            <w:tcW w:w="660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D93ACD" w:rsidRPr="006516CC" w:rsidRDefault="00DB2E4D" w:rsidP="00D9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2" w:type="dxa"/>
          </w:tcPr>
          <w:p w:rsidR="00D93ACD" w:rsidRPr="00AE065A" w:rsidRDefault="00411F6A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1F6A">
              <w:rPr>
                <w:sz w:val="20"/>
                <w:szCs w:val="20"/>
              </w:rPr>
              <w:t>A járműpróbák során nyerhető információk, megállapítások.</w:t>
            </w:r>
          </w:p>
        </w:tc>
        <w:tc>
          <w:tcPr>
            <w:tcW w:w="842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2E4D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B2E4D" w:rsidRPr="00AA2B5E" w:rsidRDefault="00DB2E4D" w:rsidP="00647A9D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B2E4D" w:rsidRPr="006516CC" w:rsidRDefault="00DB2E4D" w:rsidP="00647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682" w:type="dxa"/>
            <w:vAlign w:val="center"/>
          </w:tcPr>
          <w:p w:rsidR="00DB2E4D" w:rsidRPr="00567BE7" w:rsidRDefault="00DB2E4D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járművek állópróbái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DB2E4D" w:rsidRPr="00AA2B5E" w:rsidRDefault="00DB2E4D" w:rsidP="00647A9D">
            <w:pPr>
              <w:jc w:val="center"/>
              <w:rPr>
                <w:b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2" w:type="dxa"/>
          </w:tcPr>
          <w:p w:rsidR="00090A1B" w:rsidRPr="00647A9D" w:rsidRDefault="00647A9D" w:rsidP="00CA672C">
            <w:pPr>
              <w:spacing w:line="276" w:lineRule="auto"/>
              <w:rPr>
                <w:sz w:val="20"/>
                <w:szCs w:val="20"/>
              </w:rPr>
            </w:pPr>
            <w:r w:rsidRPr="00647A9D">
              <w:rPr>
                <w:sz w:val="20"/>
                <w:szCs w:val="20"/>
              </w:rPr>
              <w:t>Az üzemben levő járművek próbája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090A1B" w:rsidRPr="00AE065A" w:rsidRDefault="00647A9D" w:rsidP="00CA672C">
            <w:pPr>
              <w:tabs>
                <w:tab w:val="left" w:pos="1418"/>
                <w:tab w:val="right" w:pos="9072"/>
              </w:tabs>
              <w:spacing w:line="276" w:lineRule="auto"/>
              <w:ind w:left="-64"/>
              <w:jc w:val="both"/>
              <w:rPr>
                <w:sz w:val="20"/>
                <w:szCs w:val="20"/>
              </w:rPr>
            </w:pPr>
            <w:r w:rsidRPr="00647A9D">
              <w:rPr>
                <w:sz w:val="20"/>
                <w:szCs w:val="20"/>
              </w:rPr>
              <w:t xml:space="preserve">A dízelmotor, a </w:t>
            </w:r>
            <w:r>
              <w:rPr>
                <w:sz w:val="20"/>
                <w:szCs w:val="20"/>
              </w:rPr>
              <w:t xml:space="preserve">feltöltők és a fúvók hangjának </w:t>
            </w:r>
            <w:r w:rsidRPr="00647A9D">
              <w:rPr>
                <w:sz w:val="20"/>
                <w:szCs w:val="20"/>
              </w:rPr>
              <w:t>megfigyelése, gázolaj-, víz-, kenőolajcsövek tömörsége, a kipufogógáz megfigyelése, indítás, gyorsleállítás működése, villamos vezérlőkörök, reteszelések működése, mechanikus reteszelések működése, selejtezett üzemállapot vizsgálata, áramfelvétel befékezett és lassú mozgás közben, vonóerő kialakulása befékezett és lassú mozgás közben.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090A1B" w:rsidRPr="00AE065A" w:rsidRDefault="00647A9D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47A9D">
              <w:rPr>
                <w:sz w:val="20"/>
                <w:szCs w:val="20"/>
              </w:rPr>
              <w:t>Léghálózat működése, tömörsége, tisztasága, fagymentesítettsége, pneumatikus fékberendezés működése, hatásossága, mechanikus fékberendezés működése, hatásossága</w:t>
            </w:r>
            <w:r>
              <w:rPr>
                <w:sz w:val="20"/>
                <w:szCs w:val="20"/>
              </w:rPr>
              <w:t>.</w:t>
            </w:r>
            <w:r w:rsidR="0015033B">
              <w:rPr>
                <w:sz w:val="20"/>
                <w:szCs w:val="20"/>
              </w:rPr>
              <w:t xml:space="preserve"> </w:t>
            </w:r>
            <w:r w:rsidRPr="00647A9D">
              <w:rPr>
                <w:sz w:val="20"/>
                <w:szCs w:val="20"/>
              </w:rPr>
              <w:t>Az üzemen kívüli járművek (szerelőcsarnokban) végzett próbája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090A1B" w:rsidRPr="00647A9D" w:rsidRDefault="00647A9D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47A9D">
              <w:rPr>
                <w:sz w:val="20"/>
                <w:szCs w:val="20"/>
              </w:rPr>
              <w:t>A kapocslécek, vezeték csatlakozások ellenőrzése, földelések ellenőrzése, rögzítések, csatlakozások ellenőrzése, villamos gépek kommutátorai, kefetartók, kefék ellenőrzése, biztosítók, automaták állapota, kapcsolók, kontaktorok, megszakítók ellenőrzése, akkumulátorok ellenőrzése, burkolatok, fedelek ellenőrzése.</w:t>
            </w:r>
            <w:r w:rsidR="0015033B">
              <w:rPr>
                <w:sz w:val="20"/>
                <w:szCs w:val="20"/>
              </w:rPr>
              <w:t xml:space="preserve"> </w:t>
            </w:r>
            <w:r w:rsidRPr="00647A9D">
              <w:rPr>
                <w:sz w:val="20"/>
                <w:szCs w:val="20"/>
              </w:rPr>
              <w:t>Kardánkapcsolatokat, Hardy-tárcsákat, hajtóműházat, olajszintjét, hűtőberendezését,</w:t>
            </w:r>
            <w:r w:rsidR="0015033B">
              <w:rPr>
                <w:sz w:val="20"/>
                <w:szCs w:val="20"/>
              </w:rPr>
              <w:t xml:space="preserve"> </w:t>
            </w:r>
            <w:r w:rsidRPr="00647A9D">
              <w:rPr>
                <w:sz w:val="20"/>
                <w:szCs w:val="20"/>
              </w:rPr>
              <w:t>pneumatikus berendezések tömörségét, a különféle berendezések, alkatrészek ép állapotát, meglétét, rendellenességre utaló nyomokat</w:t>
            </w:r>
            <w:r w:rsidR="00115F36">
              <w:rPr>
                <w:sz w:val="20"/>
                <w:szCs w:val="20"/>
              </w:rPr>
              <w:t xml:space="preserve"> ellenőrizni.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090A1B" w:rsidRPr="00647A9D" w:rsidRDefault="00647A9D" w:rsidP="00CA672C">
            <w:pPr>
              <w:tabs>
                <w:tab w:val="left" w:pos="25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47A9D">
              <w:rPr>
                <w:sz w:val="20"/>
                <w:szCs w:val="20"/>
              </w:rPr>
              <w:t>Fűtő-, szellőző-, légjavító és klímaberendezések próbái.</w:t>
            </w:r>
            <w:r w:rsidR="0015033B">
              <w:rPr>
                <w:sz w:val="20"/>
                <w:szCs w:val="20"/>
              </w:rPr>
              <w:t xml:space="preserve"> </w:t>
            </w:r>
            <w:r w:rsidRPr="00647A9D">
              <w:rPr>
                <w:sz w:val="20"/>
                <w:szCs w:val="20"/>
              </w:rPr>
              <w:t>Energiaellátók és</w:t>
            </w:r>
            <w:r>
              <w:rPr>
                <w:sz w:val="20"/>
                <w:szCs w:val="20"/>
              </w:rPr>
              <w:t xml:space="preserve"> akkumulátortöltők vizsgálatai. </w:t>
            </w:r>
            <w:r w:rsidRPr="00647A9D">
              <w:rPr>
                <w:sz w:val="20"/>
                <w:szCs w:val="20"/>
              </w:rPr>
              <w:t>Utastájékoztató és érteke</w:t>
            </w:r>
            <w:r>
              <w:rPr>
                <w:sz w:val="20"/>
                <w:szCs w:val="20"/>
              </w:rPr>
              <w:t xml:space="preserve">ző rendszerek működési próbája. </w:t>
            </w:r>
            <w:r w:rsidRPr="00647A9D">
              <w:rPr>
                <w:sz w:val="20"/>
                <w:szCs w:val="20"/>
              </w:rPr>
              <w:t>Feljáró-, átjáró- és utastéri ajtók pneumatikus működtetésének 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2" w:type="dxa"/>
          </w:tcPr>
          <w:p w:rsidR="00090A1B" w:rsidRPr="00AE065A" w:rsidRDefault="00647A9D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47A9D">
              <w:rPr>
                <w:sz w:val="20"/>
                <w:szCs w:val="20"/>
              </w:rPr>
              <w:t>Feljáró-, átjáró- és utastéri ajtók pneumatikus működtetésének 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E4D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B2E4D" w:rsidRPr="00AA2B5E" w:rsidRDefault="00DB2E4D" w:rsidP="00647A9D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B2E4D" w:rsidRPr="006516CC" w:rsidRDefault="00DB2E4D" w:rsidP="00647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82" w:type="dxa"/>
            <w:vAlign w:val="center"/>
          </w:tcPr>
          <w:p w:rsidR="00DB2E4D" w:rsidRPr="00567BE7" w:rsidRDefault="00DB2E4D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Futópróbák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DB2E4D" w:rsidRPr="00AA2B5E" w:rsidRDefault="00DB2E4D" w:rsidP="00647A9D">
            <w:pPr>
              <w:jc w:val="center"/>
              <w:rPr>
                <w:b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2" w:type="dxa"/>
          </w:tcPr>
          <w:p w:rsidR="00090A1B" w:rsidRPr="001F666C" w:rsidRDefault="001F666C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66C">
              <w:rPr>
                <w:sz w:val="20"/>
                <w:szCs w:val="20"/>
              </w:rPr>
              <w:t>A vonali pró</w:t>
            </w:r>
            <w:r>
              <w:rPr>
                <w:sz w:val="20"/>
                <w:szCs w:val="20"/>
              </w:rPr>
              <w:t xml:space="preserve">bák feltételei, célja, tartama. </w:t>
            </w:r>
            <w:r w:rsidRPr="001F666C">
              <w:rPr>
                <w:sz w:val="20"/>
                <w:szCs w:val="20"/>
              </w:rPr>
              <w:t>A hiányosságoktól mentes állapot feltétele, a hibamentesség feltétele, a jármű nyugodt futása, rendellenes zörejek, hangok, nyílászárók, huzat, a vezérlés biztos működése futás közben.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090A1B" w:rsidRPr="001F666C" w:rsidRDefault="001F666C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Bejáratás, beszabályozás. A fékútmérés. </w:t>
            </w:r>
            <w:r w:rsidRPr="001F666C">
              <w:rPr>
                <w:sz w:val="20"/>
                <w:szCs w:val="20"/>
              </w:rPr>
              <w:t xml:space="preserve">A közlekedés- és utasbiztonsági </w:t>
            </w:r>
            <w:r>
              <w:rPr>
                <w:sz w:val="20"/>
                <w:szCs w:val="20"/>
              </w:rPr>
              <w:t xml:space="preserve">berendezések próbája. </w:t>
            </w:r>
            <w:r w:rsidRPr="001F666C">
              <w:rPr>
                <w:sz w:val="20"/>
                <w:szCs w:val="20"/>
              </w:rPr>
              <w:t>A jelző és világító berendezések, utastájékoztató és értekező berendezések, éberségi és vonatbefolyásoló berendezés.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2" w:type="dxa"/>
          </w:tcPr>
          <w:p w:rsidR="00090A1B" w:rsidRPr="001F666C" w:rsidRDefault="001F666C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66C">
              <w:rPr>
                <w:sz w:val="20"/>
                <w:szCs w:val="20"/>
              </w:rPr>
              <w:t>A jelző és világító berendezések, utastájékoztató és értekező berendezések, éberségi és vonatbefolyásoló berendezés</w:t>
            </w:r>
            <w:r w:rsidR="0015033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E4D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B2E4D" w:rsidRPr="00AA2B5E" w:rsidRDefault="00DB2E4D" w:rsidP="00647A9D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B2E4D" w:rsidRPr="006516CC" w:rsidRDefault="00DB2E4D" w:rsidP="00647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682" w:type="dxa"/>
            <w:vAlign w:val="center"/>
          </w:tcPr>
          <w:p w:rsidR="00DB2E4D" w:rsidRPr="00567BE7" w:rsidRDefault="00DB2E4D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gépezeti egységek működéspróbái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DB2E4D" w:rsidRPr="00AA2B5E" w:rsidRDefault="00DB2E4D" w:rsidP="00647A9D">
            <w:pPr>
              <w:jc w:val="center"/>
              <w:rPr>
                <w:b/>
              </w:rPr>
            </w:pPr>
          </w:p>
        </w:tc>
      </w:tr>
      <w:tr w:rsidR="00090A1B" w:rsidRPr="00AE065A" w:rsidTr="00DB2E4D">
        <w:trPr>
          <w:trHeight w:val="794"/>
        </w:trPr>
        <w:tc>
          <w:tcPr>
            <w:tcW w:w="660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6516CC" w:rsidRDefault="00DB2E4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2" w:type="dxa"/>
          </w:tcPr>
          <w:p w:rsidR="00090A1B" w:rsidRPr="001F666C" w:rsidRDefault="001F666C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erőátviteli rendszer próbái. </w:t>
            </w:r>
            <w:r w:rsidRPr="001F666C">
              <w:rPr>
                <w:sz w:val="20"/>
                <w:szCs w:val="20"/>
              </w:rPr>
              <w:t>A fődinamók, generátorok, dízelmotor, a vontatóm</w:t>
            </w:r>
            <w:r>
              <w:rPr>
                <w:sz w:val="20"/>
                <w:szCs w:val="20"/>
              </w:rPr>
              <w:t xml:space="preserve">otorok, hidraulikus hajtóművek, </w:t>
            </w:r>
            <w:r w:rsidRPr="001F666C">
              <w:rPr>
                <w:sz w:val="20"/>
                <w:szCs w:val="20"/>
              </w:rPr>
              <w:t>hidrosztatika hajtások, mechanikus irányváltó, nyomatékmódosító, össz</w:t>
            </w:r>
            <w:r w:rsidR="00CA672C">
              <w:rPr>
                <w:sz w:val="20"/>
                <w:szCs w:val="20"/>
              </w:rPr>
              <w:t>ekötő elemek, tengelykapcsolók.</w:t>
            </w:r>
          </w:p>
        </w:tc>
        <w:tc>
          <w:tcPr>
            <w:tcW w:w="842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1F666C" w:rsidRDefault="001F666C" w:rsidP="000C2B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66C">
              <w:rPr>
                <w:sz w:val="20"/>
                <w:szCs w:val="20"/>
              </w:rPr>
              <w:t>Egy</w:t>
            </w:r>
            <w:r>
              <w:rPr>
                <w:sz w:val="20"/>
                <w:szCs w:val="20"/>
              </w:rPr>
              <w:t xml:space="preserve">éb főüzemi berendezések próbái. </w:t>
            </w:r>
            <w:r w:rsidRPr="001F666C">
              <w:rPr>
                <w:sz w:val="20"/>
                <w:szCs w:val="20"/>
              </w:rPr>
              <w:t>A főüzemi</w:t>
            </w:r>
            <w:r w:rsidR="0015033B">
              <w:rPr>
                <w:sz w:val="20"/>
                <w:szCs w:val="20"/>
              </w:rPr>
              <w:t xml:space="preserve"> </w:t>
            </w:r>
            <w:r w:rsidRPr="001F666C">
              <w:rPr>
                <w:sz w:val="20"/>
                <w:szCs w:val="20"/>
              </w:rPr>
              <w:t>transzformátorok</w:t>
            </w:r>
            <w:r w:rsidR="000C2B2B">
              <w:rPr>
                <w:sz w:val="20"/>
                <w:szCs w:val="20"/>
              </w:rPr>
              <w:t>,</w:t>
            </w:r>
            <w:r w:rsidRPr="001F666C">
              <w:rPr>
                <w:sz w:val="20"/>
                <w:szCs w:val="20"/>
              </w:rPr>
              <w:t xml:space="preserve"> a transzformátor segédberendezései, főüzemi egyenirányítók, energiaellátók, egyenirányítók segédberendezései</w:t>
            </w:r>
            <w:r w:rsidR="00CA672C">
              <w:rPr>
                <w:sz w:val="20"/>
                <w:szCs w:val="20"/>
              </w:rPr>
              <w:t>.</w:t>
            </w:r>
            <w:r w:rsidR="00CA672C" w:rsidRPr="001F666C">
              <w:rPr>
                <w:sz w:val="20"/>
                <w:szCs w:val="20"/>
              </w:rPr>
              <w:t xml:space="preserve"> A </w:t>
            </w:r>
            <w:r w:rsidR="00CA672C">
              <w:rPr>
                <w:sz w:val="20"/>
                <w:szCs w:val="20"/>
              </w:rPr>
              <w:t xml:space="preserve">segédüzemi berendezések próbái. </w:t>
            </w:r>
            <w:r w:rsidR="00CA672C" w:rsidRPr="001F666C">
              <w:rPr>
                <w:sz w:val="20"/>
                <w:szCs w:val="20"/>
              </w:rPr>
              <w:t>A mechanikus hajtású segédüzemi gépek, hidrosztatikus hajtású segédüzemi gépek, vil</w:t>
            </w:r>
            <w:r w:rsidR="00CA672C">
              <w:rPr>
                <w:sz w:val="20"/>
                <w:szCs w:val="20"/>
              </w:rPr>
              <w:t>lamos hajtású segédüzemi gépek.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1F666C" w:rsidRDefault="001F666C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futó- és hordművek próbái. </w:t>
            </w:r>
            <w:r w:rsidRPr="001F666C">
              <w:rPr>
                <w:sz w:val="20"/>
                <w:szCs w:val="20"/>
              </w:rPr>
              <w:t>A kerékpár, kerékabroncs, féktárcsa, kerékcsapágy, ágytok, csapágyvezető elemek, himbák, rugók, lengéscsillapítók, összekötő és tartóelemek, forgóvázkeret, szekrényfelfüggesztések, futásjavító szerkezetek, járműfőkeret, járműszekrény, vonóerő átadó elemek, vonó- és ütközőkészülékek, fék mechanikus elemek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682" w:type="dxa"/>
            <w:vAlign w:val="center"/>
          </w:tcPr>
          <w:p w:rsidR="001F666C" w:rsidRPr="00567BE7" w:rsidRDefault="001F666C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pneumatikus rendszerek működéspróbái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1F666C" w:rsidRDefault="001F666C" w:rsidP="00CA672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F666C">
              <w:rPr>
                <w:sz w:val="20"/>
                <w:szCs w:val="20"/>
              </w:rPr>
              <w:t>A légsűrítő vizsgálata, próbáj</w:t>
            </w:r>
            <w:r>
              <w:rPr>
                <w:sz w:val="20"/>
                <w:szCs w:val="20"/>
              </w:rPr>
              <w:t xml:space="preserve">a. </w:t>
            </w:r>
            <w:r w:rsidRPr="001F666C">
              <w:rPr>
                <w:sz w:val="20"/>
                <w:szCs w:val="20"/>
              </w:rPr>
              <w:t>A duga</w:t>
            </w:r>
            <w:r w:rsidR="000C2B2B">
              <w:rPr>
                <w:sz w:val="20"/>
                <w:szCs w:val="20"/>
              </w:rPr>
              <w:t>ttyús gépek, csavarkompresszorok.</w:t>
            </w:r>
            <w:r w:rsidR="0015033B">
              <w:rPr>
                <w:sz w:val="20"/>
                <w:szCs w:val="20"/>
              </w:rPr>
              <w:t xml:space="preserve"> </w:t>
            </w:r>
            <w:r w:rsidRPr="001F666C">
              <w:rPr>
                <w:sz w:val="20"/>
                <w:szCs w:val="20"/>
              </w:rPr>
              <w:t>A sűrített levegő szállítására, tárolására, tisztítására, elosztására</w:t>
            </w:r>
            <w:r w:rsidR="0015033B">
              <w:rPr>
                <w:sz w:val="20"/>
                <w:szCs w:val="20"/>
              </w:rPr>
              <w:t xml:space="preserve"> </w:t>
            </w:r>
            <w:r w:rsidRPr="001F666C">
              <w:rPr>
                <w:sz w:val="20"/>
                <w:szCs w:val="20"/>
              </w:rPr>
              <w:t>szolgáló berendezések próbája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1F666C" w:rsidRDefault="001F666C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F666C">
              <w:rPr>
                <w:sz w:val="20"/>
                <w:szCs w:val="20"/>
              </w:rPr>
              <w:t>A csővezetékek, csőkötések, elágazó elemek, visszacsapó szelepek, légtartályok, biztonsági szelepek, szűrők, csepp- és porfogók, olajleválasztók, légszárítók, víztelenítők, nyomáskapcsolók, nyomásőrök, nyomásszabályo</w:t>
            </w:r>
            <w:r>
              <w:rPr>
                <w:sz w:val="20"/>
                <w:szCs w:val="20"/>
              </w:rPr>
              <w:t xml:space="preserve">zók, nyomásjelzők, nyomásmérők. </w:t>
            </w:r>
            <w:r w:rsidRPr="001F666C">
              <w:rPr>
                <w:sz w:val="20"/>
                <w:szCs w:val="20"/>
              </w:rPr>
              <w:t>A légfékberendezések próbái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225011" w:rsidRDefault="00225011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5011">
              <w:rPr>
                <w:sz w:val="20"/>
                <w:szCs w:val="20"/>
              </w:rPr>
              <w:t>A kormányszelepek, nyomásmódosítók, folytatólagos fékezőszelepek, kiegészítő szelepek, vonatnem</w:t>
            </w:r>
            <w:r w:rsidR="0015033B">
              <w:rPr>
                <w:sz w:val="20"/>
                <w:szCs w:val="20"/>
              </w:rPr>
              <w:t>-</w:t>
            </w:r>
            <w:r w:rsidRPr="00225011">
              <w:rPr>
                <w:sz w:val="20"/>
                <w:szCs w:val="20"/>
              </w:rPr>
              <w:t>váltók, raksúlyváltók, mérlegszelepek, elektropneumatikus szelepek, tömlőkapcsolatok, elzárószelepek, fékhatás gyorsítók, centrifugál kapcsolók, fordító- és kétüléses szelepek, csúszás</w:t>
            </w:r>
            <w:r>
              <w:rPr>
                <w:sz w:val="20"/>
                <w:szCs w:val="20"/>
              </w:rPr>
              <w:t xml:space="preserve">gátló, oldó, gyorsító szelepek. </w:t>
            </w:r>
            <w:r w:rsidRPr="00225011">
              <w:rPr>
                <w:sz w:val="20"/>
                <w:szCs w:val="20"/>
              </w:rPr>
              <w:t>A kiegészítő berendezések próbái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225011" w:rsidRDefault="00225011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5011">
              <w:rPr>
                <w:sz w:val="20"/>
                <w:szCs w:val="20"/>
              </w:rPr>
              <w:t>A homokoló berendezések, perdülésgátló berendezések, ablaktörlő berendezések, ablakpáramentesítő berendezések, tükörnyitó</w:t>
            </w:r>
            <w:r>
              <w:rPr>
                <w:sz w:val="20"/>
                <w:szCs w:val="20"/>
              </w:rPr>
              <w:t xml:space="preserve"> berendezések, légkürt, légsíp. </w:t>
            </w:r>
            <w:r w:rsidRPr="00225011">
              <w:rPr>
                <w:sz w:val="20"/>
                <w:szCs w:val="20"/>
              </w:rPr>
              <w:t>Feljáró-, átjáró- és utastéri ajtók pneumatikus működtetésének próbái</w:t>
            </w:r>
            <w:r w:rsidR="00CA672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2" w:type="dxa"/>
          </w:tcPr>
          <w:p w:rsidR="001F666C" w:rsidRPr="00AE065A" w:rsidRDefault="00225011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25011">
              <w:rPr>
                <w:sz w:val="20"/>
                <w:szCs w:val="20"/>
              </w:rPr>
              <w:t>Feljáró-, átjáró- és utastéri ajtók pneumatikus működtetésének próbái</w:t>
            </w:r>
            <w:r w:rsidR="00CA672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682" w:type="dxa"/>
            <w:vAlign w:val="center"/>
          </w:tcPr>
          <w:p w:rsidR="001F666C" w:rsidRPr="00567BE7" w:rsidRDefault="001F666C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villamos áramkörök állapotfelmérő próbái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1F666C" w:rsidRPr="00D348D8" w:rsidRDefault="00D348D8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48D8">
              <w:rPr>
                <w:sz w:val="20"/>
                <w:szCs w:val="20"/>
              </w:rPr>
              <w:t>Az árams</w:t>
            </w:r>
            <w:r>
              <w:rPr>
                <w:sz w:val="20"/>
                <w:szCs w:val="20"/>
              </w:rPr>
              <w:t xml:space="preserve">zedők, tetőberendezések próbái. </w:t>
            </w:r>
            <w:r w:rsidRPr="00D348D8">
              <w:rPr>
                <w:sz w:val="20"/>
                <w:szCs w:val="20"/>
              </w:rPr>
              <w:t>Az áramszedők, földelőkapcsolók, tetővezetékek, nag</w:t>
            </w:r>
            <w:r w:rsidR="000C2B2B">
              <w:rPr>
                <w:sz w:val="20"/>
                <w:szCs w:val="20"/>
              </w:rPr>
              <w:t>yfeszültségű szigetelők, primer</w:t>
            </w:r>
            <w:r w:rsidRPr="00D348D8">
              <w:rPr>
                <w:sz w:val="20"/>
                <w:szCs w:val="20"/>
              </w:rPr>
              <w:t>feszü</w:t>
            </w:r>
            <w:r w:rsidR="00CA672C">
              <w:rPr>
                <w:sz w:val="20"/>
                <w:szCs w:val="20"/>
              </w:rPr>
              <w:t>ltségváltó, bevezető áramváltó.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AE065A" w:rsidRDefault="00D348D8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348D8">
              <w:rPr>
                <w:sz w:val="20"/>
                <w:szCs w:val="20"/>
              </w:rPr>
              <w:t>Az árams</w:t>
            </w:r>
            <w:r>
              <w:rPr>
                <w:sz w:val="20"/>
                <w:szCs w:val="20"/>
              </w:rPr>
              <w:t xml:space="preserve">zedők, tetőberendezések próbái. </w:t>
            </w:r>
            <w:r w:rsidRPr="00D348D8">
              <w:rPr>
                <w:sz w:val="20"/>
                <w:szCs w:val="20"/>
              </w:rPr>
              <w:t>Az áramszedők, földelőkapcsolók, tetővezetékek, nagyfeszültségű szigetelők, primer feszü</w:t>
            </w:r>
            <w:r>
              <w:rPr>
                <w:sz w:val="20"/>
                <w:szCs w:val="20"/>
              </w:rPr>
              <w:t xml:space="preserve">ltségváltó, bevezető áramváltó. </w:t>
            </w:r>
            <w:r w:rsidRPr="00D348D8">
              <w:rPr>
                <w:sz w:val="20"/>
                <w:szCs w:val="20"/>
              </w:rPr>
              <w:t>A kapcsoló-berendezések próbái</w:t>
            </w:r>
            <w:r w:rsidR="0015033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D348D8" w:rsidRDefault="00D348D8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48D8">
              <w:rPr>
                <w:sz w:val="20"/>
                <w:szCs w:val="20"/>
              </w:rPr>
              <w:t>A kontaktorok, ívoltó berendezések, motorvédő kapcsolók, megszakítók, szakaszolók, kapcsolóhengerek, kézi működtetésű kapcsolók, nyomógombok, nyomásk</w:t>
            </w:r>
            <w:r>
              <w:rPr>
                <w:sz w:val="20"/>
                <w:szCs w:val="20"/>
              </w:rPr>
              <w:t xml:space="preserve">apcsolók, áramlásjelzők, relék. </w:t>
            </w:r>
            <w:r w:rsidRPr="00D348D8">
              <w:rPr>
                <w:sz w:val="20"/>
                <w:szCs w:val="20"/>
              </w:rPr>
              <w:t>A kábelrendszerek, ellenállások próbái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D348D8" w:rsidRDefault="00D348D8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48D8">
              <w:rPr>
                <w:sz w:val="20"/>
                <w:szCs w:val="20"/>
              </w:rPr>
              <w:t>A kábelkötegek, kábelcsatornák, rögzítők, kapocslécek, kábelvégek, feszültségosztó, illesztő ellenállások, áramkorlátozó, teljesítmény ellenállások.</w:t>
            </w:r>
            <w:r w:rsidR="0015033B">
              <w:rPr>
                <w:sz w:val="20"/>
                <w:szCs w:val="20"/>
              </w:rPr>
              <w:t xml:space="preserve"> </w:t>
            </w:r>
            <w:r w:rsidRPr="00D348D8">
              <w:rPr>
                <w:sz w:val="20"/>
                <w:szCs w:val="20"/>
              </w:rPr>
              <w:t>A nagyfeszültségű fokozatkapcsoló próbái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2" w:type="dxa"/>
          </w:tcPr>
          <w:p w:rsidR="001F666C" w:rsidRPr="00D348D8" w:rsidRDefault="00D348D8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48D8">
              <w:rPr>
                <w:sz w:val="20"/>
                <w:szCs w:val="20"/>
              </w:rPr>
              <w:t>A fokozatváltás folyamata, teljes fel- és lefutási idők, meghajtás, légmotor, választóhenger, teljesítmény</w:t>
            </w:r>
            <w:r w:rsidR="0015033B">
              <w:rPr>
                <w:sz w:val="20"/>
                <w:szCs w:val="20"/>
              </w:rPr>
              <w:t>-</w:t>
            </w:r>
            <w:r w:rsidRPr="00D348D8">
              <w:rPr>
                <w:sz w:val="20"/>
                <w:szCs w:val="20"/>
              </w:rPr>
              <w:t>kontaktor, átkapcsoló és véd</w:t>
            </w:r>
            <w:r>
              <w:rPr>
                <w:sz w:val="20"/>
                <w:szCs w:val="20"/>
              </w:rPr>
              <w:t xml:space="preserve">őellenállás, fokozatállásjelző. </w:t>
            </w:r>
            <w:r w:rsidRPr="00D348D8">
              <w:rPr>
                <w:sz w:val="20"/>
                <w:szCs w:val="20"/>
              </w:rPr>
              <w:t>Fűtő-, szellőző-, légjaví</w:t>
            </w:r>
            <w:r>
              <w:rPr>
                <w:sz w:val="20"/>
                <w:szCs w:val="20"/>
              </w:rPr>
              <w:t xml:space="preserve">tó és klímaberendezések próbái. </w:t>
            </w:r>
            <w:r w:rsidRPr="00D348D8">
              <w:rPr>
                <w:sz w:val="20"/>
                <w:szCs w:val="20"/>
              </w:rPr>
              <w:t>Energiaellátók és akkumulátortöltők próbái.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682" w:type="dxa"/>
            <w:vAlign w:val="center"/>
          </w:tcPr>
          <w:p w:rsidR="001F666C" w:rsidRPr="00567BE7" w:rsidRDefault="001F666C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Diagnosztikai vizsgálatok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2" w:type="dxa"/>
          </w:tcPr>
          <w:p w:rsidR="001F666C" w:rsidRPr="00AE065A" w:rsidRDefault="00413957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13957">
              <w:rPr>
                <w:sz w:val="20"/>
              </w:rPr>
              <w:t>A diagnosztikai állapotjellemzők, vizsgálatuk</w:t>
            </w:r>
            <w:r w:rsidR="00115F36">
              <w:rPr>
                <w:sz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413957" w:rsidRDefault="00413957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957">
              <w:rPr>
                <w:sz w:val="20"/>
              </w:rPr>
              <w:t>A diagnosztikai állapotjellemzők, vizsgálatuk</w:t>
            </w:r>
            <w:r w:rsidR="00115F36">
              <w:rPr>
                <w:sz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AE065A" w:rsidRDefault="00413957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13957">
              <w:rPr>
                <w:sz w:val="20"/>
                <w:szCs w:val="20"/>
              </w:rPr>
              <w:t>Az egyenáramú villamos gépek, a váltakozó áramú forgógépek, a nagyteljesítményű transzformátorok, a dízelmotorok, fajlagos gázolajtartalom, koromtartalom, hidraulikus hajtóművek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413957" w:rsidRDefault="00413957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957">
              <w:rPr>
                <w:sz w:val="20"/>
                <w:szCs w:val="20"/>
              </w:rPr>
              <w:t>Az egyenáramú villamos gépek, a váltakozó áramú forgógépek, a nagyteljesítményű transzformátorok, a dízelmotorok, fajlagos gázolajtartalom, koromtartalom, hidraulikus hajtóművek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AE065A" w:rsidRDefault="00413957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13957">
              <w:rPr>
                <w:sz w:val="20"/>
                <w:szCs w:val="20"/>
              </w:rPr>
              <w:t>A mérések terhelés, illetve üzem közben.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413957" w:rsidRDefault="00413957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3957">
              <w:rPr>
                <w:sz w:val="20"/>
                <w:szCs w:val="20"/>
              </w:rPr>
              <w:t>A komplex mérő- és diagnosztizáló berendezés, jel- és hibatárolók, fedélzeti diagnosztikai rendszerek, alkalmazott diagnosztikai célszoftverek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AE065A" w:rsidRDefault="00413957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13957">
              <w:rPr>
                <w:sz w:val="20"/>
                <w:szCs w:val="20"/>
              </w:rPr>
              <w:t>A komplex mérő- és diagnosztizáló berendezés, jel- és hibatárolók, fedélzeti diagnosztikai rendszerek, alkalmazott diagnosztikai célszoftverek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C44D63" w:rsidTr="00647A9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666C" w:rsidRPr="00C44D63" w:rsidRDefault="001F666C" w:rsidP="001F6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1F666C" w:rsidRPr="00C44D63" w:rsidRDefault="001F666C" w:rsidP="001F666C">
            <w:pPr>
              <w:jc w:val="center"/>
              <w:rPr>
                <w:sz w:val="24"/>
                <w:szCs w:val="24"/>
              </w:rPr>
            </w:pPr>
            <w:r w:rsidRPr="00C44D63">
              <w:rPr>
                <w:sz w:val="24"/>
                <w:szCs w:val="24"/>
              </w:rPr>
              <w:t>192</w:t>
            </w:r>
          </w:p>
        </w:tc>
        <w:tc>
          <w:tcPr>
            <w:tcW w:w="4682" w:type="dxa"/>
            <w:vAlign w:val="center"/>
          </w:tcPr>
          <w:p w:rsidR="001F666C" w:rsidRPr="00C44D63" w:rsidRDefault="001F666C" w:rsidP="00CA67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D63">
              <w:rPr>
                <w:sz w:val="24"/>
                <w:szCs w:val="24"/>
              </w:rPr>
              <w:t>Működési és mérési gyakorlatok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1F666C" w:rsidRPr="00C44D63" w:rsidRDefault="001F666C" w:rsidP="001F66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66C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682" w:type="dxa"/>
            <w:vAlign w:val="center"/>
          </w:tcPr>
          <w:p w:rsidR="001F666C" w:rsidRPr="00567BE7" w:rsidRDefault="001F666C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villamos gépek minősítő mérései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5E3215" w:rsidRDefault="005E3215" w:rsidP="00333C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3215">
              <w:rPr>
                <w:sz w:val="20"/>
                <w:szCs w:val="20"/>
              </w:rPr>
              <w:t>A vasútüzemi egyen-, és vált</w:t>
            </w:r>
            <w:r w:rsidR="00333C73">
              <w:rPr>
                <w:sz w:val="20"/>
                <w:szCs w:val="20"/>
              </w:rPr>
              <w:t>akozó</w:t>
            </w:r>
            <w:r w:rsidRPr="005E3215">
              <w:rPr>
                <w:sz w:val="20"/>
                <w:szCs w:val="20"/>
              </w:rPr>
              <w:t>áramú villamos gépek műszaki á</w:t>
            </w:r>
            <w:r>
              <w:rPr>
                <w:sz w:val="20"/>
                <w:szCs w:val="20"/>
              </w:rPr>
              <w:t xml:space="preserve">llapotát meghatározó jellemzők. Mechanikai jellemzők. </w:t>
            </w:r>
            <w:r w:rsidRPr="005E3215">
              <w:rPr>
                <w:sz w:val="20"/>
                <w:szCs w:val="20"/>
              </w:rPr>
              <w:t>Méretpontosság, hézag, zaj, állórész öntvényház, pajzs, csapágyfészek furatai, pólustörzsek, csapágyak, csapágyfedelek, forgórész tengely, forgórész-lemeztest, kommutátor rögzítés, kefetartók, forgórész kiegyensúlyozottsága, kommutátor, bandázsok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5E3215" w:rsidRDefault="005E3215" w:rsidP="00CA672C">
            <w:pPr>
              <w:tabs>
                <w:tab w:val="left" w:pos="138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Villamos jellemzők. </w:t>
            </w:r>
            <w:r w:rsidRPr="005E3215">
              <w:rPr>
                <w:sz w:val="20"/>
                <w:szCs w:val="20"/>
              </w:rPr>
              <w:t>Szigetelés, rögzítés, bandázsozás, impregnálás, fedőlakk</w:t>
            </w:r>
            <w:r w:rsidR="00333C73">
              <w:rPr>
                <w:sz w:val="20"/>
                <w:szCs w:val="20"/>
              </w:rPr>
              <w:t>-</w:t>
            </w:r>
            <w:r w:rsidRPr="005E3215">
              <w:rPr>
                <w:sz w:val="20"/>
                <w:szCs w:val="20"/>
              </w:rPr>
              <w:t>réteg, kefeszikrázás, kompenzálás, segédpólusok,</w:t>
            </w:r>
            <w:r>
              <w:rPr>
                <w:sz w:val="20"/>
                <w:szCs w:val="20"/>
              </w:rPr>
              <w:t xml:space="preserve"> légrések, kiegyenlítő kötések. Általános jellegű mérések. </w:t>
            </w:r>
            <w:r w:rsidRPr="005E3215">
              <w:rPr>
                <w:sz w:val="20"/>
                <w:szCs w:val="20"/>
              </w:rPr>
              <w:t>Melegedés mérés, a szigetelés villamos szilárdságának mérése, kommutátor-alakhűség mérése, keferugó-nyomóerő mérése, hűtőlevegő mennyiségének mérése, rezgésmérés, kommut</w:t>
            </w:r>
            <w:r>
              <w:rPr>
                <w:sz w:val="20"/>
                <w:szCs w:val="20"/>
              </w:rPr>
              <w:t xml:space="preserve">ációs próbák, pörgetési próbák. </w:t>
            </w:r>
            <w:r w:rsidRPr="005E321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generátorok és dinamók mérése. </w:t>
            </w:r>
            <w:r w:rsidRPr="005E3215">
              <w:rPr>
                <w:sz w:val="20"/>
                <w:szCs w:val="20"/>
              </w:rPr>
              <w:t>Darabvizsgálatok, szerelési méretek, tekercsek ellenállása, tekercsek szigetelési ellenállása (hideg-meleg), melegedési vizsgálat, pörgetési vizsgálat, gépjellemzők, kommutációs vizsgálat, szigetelés villamos szilárdság vizsgálata, rezgésvizsgálat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C34506" w:rsidRPr="00C34506" w:rsidRDefault="00C34506" w:rsidP="00333C73">
            <w:pPr>
              <w:tabs>
                <w:tab w:val="right" w:pos="9072"/>
              </w:tabs>
              <w:spacing w:line="276" w:lineRule="auto"/>
              <w:ind w:left="51" w:hanging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Típusvizsgálat. </w:t>
            </w:r>
            <w:r w:rsidRPr="00C34506">
              <w:rPr>
                <w:sz w:val="20"/>
                <w:szCs w:val="20"/>
              </w:rPr>
              <w:t>Melegedési vizsgálatok, indítási vizsgálat, mágnesezési görbék felvétele, veszteségmérés.</w:t>
            </w:r>
          </w:p>
          <w:p w:rsidR="001F666C" w:rsidRPr="00C34506" w:rsidRDefault="00C34506" w:rsidP="00CA672C">
            <w:pPr>
              <w:tabs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vontatómotorok mérése. </w:t>
            </w:r>
            <w:r w:rsidRPr="00C34506">
              <w:rPr>
                <w:sz w:val="20"/>
                <w:szCs w:val="20"/>
              </w:rPr>
              <w:t xml:space="preserve">Egyenáramú, főgenerátorról táplált motorok, hullámos egyenáramú motorok, </w:t>
            </w:r>
            <w:r w:rsidRPr="00C34506">
              <w:rPr>
                <w:sz w:val="20"/>
                <w:szCs w:val="20"/>
              </w:rPr>
              <w:lastRenderedPageBreak/>
              <w:t>aszinkrongépek. A tr</w:t>
            </w:r>
            <w:r>
              <w:rPr>
                <w:sz w:val="20"/>
                <w:szCs w:val="20"/>
              </w:rPr>
              <w:t xml:space="preserve">anszformátorok minősítő mérései. </w:t>
            </w:r>
            <w:r w:rsidRPr="00C34506">
              <w:rPr>
                <w:sz w:val="20"/>
                <w:szCs w:val="20"/>
              </w:rPr>
              <w:t>Összeszerelt állapotban végzett mérések, a tekercsek szigetelési állapota, a transzformátorolaj minősége, javítóműhelyi, szétszerelt állapotban, és a javítás utáni mérések, transzformátor áttétel, tekercselési ellenállások, üresjárati, rövidzárási mérések, melegedés vizsgálatok, szigetelésvizsgálatok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1F666C" w:rsidRPr="000624A8" w:rsidRDefault="000624A8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624A8">
              <w:rPr>
                <w:sz w:val="20"/>
                <w:szCs w:val="20"/>
              </w:rPr>
              <w:t>Energiaellátók és</w:t>
            </w:r>
            <w:r>
              <w:rPr>
                <w:sz w:val="20"/>
                <w:szCs w:val="20"/>
              </w:rPr>
              <w:t xml:space="preserve"> akkumulátortöltők vizsgálatai. </w:t>
            </w:r>
            <w:r w:rsidRPr="000624A8">
              <w:rPr>
                <w:sz w:val="20"/>
                <w:szCs w:val="20"/>
              </w:rPr>
              <w:t>A fokozatkapcsoló</w:t>
            </w:r>
            <w:r>
              <w:rPr>
                <w:sz w:val="20"/>
                <w:szCs w:val="20"/>
              </w:rPr>
              <w:t xml:space="preserve"> minősítő mérései. </w:t>
            </w:r>
            <w:r w:rsidRPr="000624A8">
              <w:rPr>
                <w:sz w:val="20"/>
                <w:szCs w:val="20"/>
              </w:rPr>
              <w:t>Szöghiba mérés, futási idő mérése, hajtónyomaték mérése, választóhenger olajvizsgálat, javítás utáni mérések, a légmotor ellenőrző mérései.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2" w:type="dxa"/>
          </w:tcPr>
          <w:p w:rsidR="001F666C" w:rsidRPr="000624A8" w:rsidRDefault="000624A8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624A8">
              <w:rPr>
                <w:sz w:val="20"/>
                <w:szCs w:val="20"/>
              </w:rPr>
              <w:t>Fűtő-, szellőző-, légjavító és klímaberendezések vizsgálatai.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66C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82" w:type="dxa"/>
            <w:vAlign w:val="center"/>
          </w:tcPr>
          <w:p w:rsidR="001F666C" w:rsidRPr="00567BE7" w:rsidRDefault="001F666C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teljesítménymegszakítók minősítő mérései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1F666C" w:rsidRPr="00AA2B5E" w:rsidRDefault="001F666C" w:rsidP="001F666C">
            <w:pPr>
              <w:jc w:val="center"/>
              <w:rPr>
                <w:b/>
              </w:rPr>
            </w:pPr>
          </w:p>
        </w:tc>
      </w:tr>
      <w:tr w:rsidR="001F666C" w:rsidRPr="00AE065A" w:rsidTr="00DB2E4D">
        <w:trPr>
          <w:trHeight w:val="794"/>
        </w:trPr>
        <w:tc>
          <w:tcPr>
            <w:tcW w:w="660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1F666C" w:rsidRPr="006516CC" w:rsidRDefault="001F666C" w:rsidP="001F6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1F666C" w:rsidRPr="000624A8" w:rsidRDefault="000624A8" w:rsidP="00CA672C">
            <w:pPr>
              <w:tabs>
                <w:tab w:val="left" w:pos="1418"/>
                <w:tab w:val="right" w:pos="9072"/>
              </w:tabs>
              <w:spacing w:line="276" w:lineRule="auto"/>
              <w:ind w:left="-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részegységek mérése. </w:t>
            </w:r>
            <w:r w:rsidRPr="000624A8">
              <w:rPr>
                <w:sz w:val="20"/>
                <w:szCs w:val="20"/>
              </w:rPr>
              <w:t>Oltókamra és érintkezőcső, szakaszolófej, szellőzőpatron, vezérlőtömb.</w:t>
            </w:r>
            <w:r w:rsidR="00333C73">
              <w:rPr>
                <w:sz w:val="20"/>
                <w:szCs w:val="20"/>
              </w:rPr>
              <w:t xml:space="preserve"> </w:t>
            </w:r>
            <w:r w:rsidRPr="000624A8">
              <w:rPr>
                <w:sz w:val="20"/>
                <w:szCs w:val="20"/>
              </w:rPr>
              <w:t>A teljesít</w:t>
            </w:r>
            <w:r>
              <w:rPr>
                <w:sz w:val="20"/>
                <w:szCs w:val="20"/>
              </w:rPr>
              <w:t xml:space="preserve">ménymegszakító ellenőrző mérése. </w:t>
            </w:r>
          </w:p>
        </w:tc>
        <w:tc>
          <w:tcPr>
            <w:tcW w:w="842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1F666C" w:rsidRPr="00AE065A" w:rsidRDefault="001F666C" w:rsidP="001F66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4A8" w:rsidRPr="00AE065A" w:rsidTr="00DB2E4D">
        <w:trPr>
          <w:trHeight w:val="794"/>
        </w:trPr>
        <w:tc>
          <w:tcPr>
            <w:tcW w:w="660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624A8" w:rsidRPr="006516CC" w:rsidRDefault="000624A8" w:rsidP="0006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0624A8" w:rsidRPr="000624A8" w:rsidRDefault="00CA672C" w:rsidP="00CA672C">
            <w:pPr>
              <w:tabs>
                <w:tab w:val="left" w:pos="1418"/>
                <w:tab w:val="right" w:pos="9072"/>
              </w:tabs>
              <w:spacing w:line="276" w:lineRule="auto"/>
              <w:ind w:left="-64"/>
              <w:jc w:val="both"/>
              <w:rPr>
                <w:sz w:val="20"/>
                <w:szCs w:val="20"/>
              </w:rPr>
            </w:pPr>
            <w:r w:rsidRPr="000624A8">
              <w:rPr>
                <w:sz w:val="20"/>
                <w:szCs w:val="20"/>
              </w:rPr>
              <w:t>Bekapcsolási diagram, szakaszoló mozgás, szakaszoló sebesség, szakaszoló</w:t>
            </w:r>
            <w:r>
              <w:rPr>
                <w:sz w:val="20"/>
                <w:szCs w:val="20"/>
              </w:rPr>
              <w:t xml:space="preserve"> csillapítás. </w:t>
            </w:r>
            <w:r w:rsidR="000624A8" w:rsidRPr="000624A8">
              <w:rPr>
                <w:sz w:val="20"/>
                <w:szCs w:val="20"/>
              </w:rPr>
              <w:t>Kikapcsolási diagram, szakaszoló mozgása, szakaszoló sebessége, szakaszoló csillapítása, kikapcsolási idő, kapcsolás késleltetése, ívoltási idő</w:t>
            </w:r>
            <w:r w:rsidR="00115F36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4A8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624A8" w:rsidRPr="00AA2B5E" w:rsidRDefault="000624A8" w:rsidP="000624A8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624A8" w:rsidRPr="006516CC" w:rsidRDefault="000624A8" w:rsidP="000624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82" w:type="dxa"/>
            <w:vAlign w:val="center"/>
          </w:tcPr>
          <w:p w:rsidR="000624A8" w:rsidRPr="00567BE7" w:rsidRDefault="000624A8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villamos készülékek minősítő mérései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0624A8" w:rsidRPr="00AA2B5E" w:rsidRDefault="000624A8" w:rsidP="000624A8">
            <w:pPr>
              <w:jc w:val="center"/>
              <w:rPr>
                <w:b/>
              </w:rPr>
            </w:pPr>
          </w:p>
        </w:tc>
      </w:tr>
      <w:tr w:rsidR="000624A8" w:rsidRPr="00AE065A" w:rsidTr="00DB2E4D">
        <w:trPr>
          <w:trHeight w:val="794"/>
        </w:trPr>
        <w:tc>
          <w:tcPr>
            <w:tcW w:w="660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624A8" w:rsidRPr="006516CC" w:rsidRDefault="000624A8" w:rsidP="0006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2" w:type="dxa"/>
          </w:tcPr>
          <w:p w:rsidR="000624A8" w:rsidRPr="009D16FD" w:rsidRDefault="009D16FD" w:rsidP="00CA672C">
            <w:pPr>
              <w:tabs>
                <w:tab w:val="left" w:pos="1418"/>
                <w:tab w:val="right" w:pos="9072"/>
              </w:tabs>
              <w:spacing w:line="276" w:lineRule="auto"/>
              <w:ind w:left="-64"/>
              <w:jc w:val="both"/>
            </w:pPr>
            <w:r w:rsidRPr="009D16F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villamos készülékek vizsgálatai. </w:t>
            </w:r>
            <w:r w:rsidRPr="009D16FD">
              <w:rPr>
                <w:sz w:val="20"/>
                <w:szCs w:val="20"/>
              </w:rPr>
              <w:t>Mechanikai vizsgálatok, működés ellenőrzése, tartósság vizsgálata, rázás- és lökésállóság, légtömörség, szivárgás.</w:t>
            </w:r>
          </w:p>
        </w:tc>
        <w:tc>
          <w:tcPr>
            <w:tcW w:w="842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4A8" w:rsidRPr="00AE065A" w:rsidTr="00DB2E4D">
        <w:trPr>
          <w:trHeight w:val="794"/>
        </w:trPr>
        <w:tc>
          <w:tcPr>
            <w:tcW w:w="660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624A8" w:rsidRPr="006516CC" w:rsidRDefault="000624A8" w:rsidP="0006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2" w:type="dxa"/>
          </w:tcPr>
          <w:p w:rsidR="000624A8" w:rsidRPr="009D16FD" w:rsidRDefault="009D16FD" w:rsidP="00CA672C">
            <w:pPr>
              <w:tabs>
                <w:tab w:val="left" w:pos="1418"/>
                <w:tab w:val="right" w:pos="9072"/>
              </w:tabs>
              <w:spacing w:line="276" w:lineRule="auto"/>
              <w:ind w:left="-64"/>
              <w:jc w:val="both"/>
              <w:rPr>
                <w:sz w:val="20"/>
                <w:szCs w:val="20"/>
              </w:rPr>
            </w:pPr>
            <w:r w:rsidRPr="009D16FD">
              <w:rPr>
                <w:sz w:val="20"/>
                <w:szCs w:val="20"/>
              </w:rPr>
              <w:t>Villamos vizsgálatok, ellenállás, impedancia, melegedés, bekapcsoló- és megszakító képesség, biztosítók áram-idő jelleggörbéje, beállítás, működés ellenőrzés, szigetelés.A túlfeszültség levezetők</w:t>
            </w:r>
            <w:r>
              <w:rPr>
                <w:sz w:val="20"/>
                <w:szCs w:val="20"/>
              </w:rPr>
              <w:t xml:space="preserve"> mérése. </w:t>
            </w:r>
            <w:r w:rsidRPr="009D16FD">
              <w:rPr>
                <w:sz w:val="20"/>
                <w:szCs w:val="20"/>
              </w:rPr>
              <w:t>Megszólalási feszültség, maradék feszültség, katasztrófa áram.</w:t>
            </w:r>
          </w:p>
        </w:tc>
        <w:tc>
          <w:tcPr>
            <w:tcW w:w="842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4A8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624A8" w:rsidRPr="00AA2B5E" w:rsidRDefault="000624A8" w:rsidP="000624A8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624A8" w:rsidRPr="006516CC" w:rsidRDefault="000624A8" w:rsidP="000624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  <w:vAlign w:val="center"/>
          </w:tcPr>
          <w:p w:rsidR="000624A8" w:rsidRPr="00567BE7" w:rsidRDefault="000624A8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dízelmotorok vizsgálata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0624A8" w:rsidRPr="00AA2B5E" w:rsidRDefault="000624A8" w:rsidP="000624A8">
            <w:pPr>
              <w:jc w:val="center"/>
              <w:rPr>
                <w:b/>
              </w:rPr>
            </w:pPr>
          </w:p>
        </w:tc>
      </w:tr>
      <w:tr w:rsidR="000624A8" w:rsidRPr="00AE065A" w:rsidTr="00DB2E4D">
        <w:trPr>
          <w:trHeight w:val="794"/>
        </w:trPr>
        <w:tc>
          <w:tcPr>
            <w:tcW w:w="660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624A8" w:rsidRPr="006516CC" w:rsidRDefault="000624A8" w:rsidP="00062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2" w:type="dxa"/>
          </w:tcPr>
          <w:p w:rsidR="000624A8" w:rsidRPr="009D16FD" w:rsidRDefault="009D16FD" w:rsidP="00CA672C">
            <w:pPr>
              <w:tabs>
                <w:tab w:val="left" w:pos="1418"/>
                <w:tab w:val="right" w:pos="9072"/>
              </w:tabs>
              <w:spacing w:line="276" w:lineRule="auto"/>
              <w:ind w:left="-64"/>
              <w:jc w:val="both"/>
              <w:rPr>
                <w:sz w:val="20"/>
                <w:szCs w:val="20"/>
              </w:rPr>
            </w:pPr>
            <w:r w:rsidRPr="009D16FD">
              <w:rPr>
                <w:sz w:val="20"/>
                <w:szCs w:val="20"/>
              </w:rPr>
              <w:t>A keverékk</w:t>
            </w:r>
            <w:r>
              <w:rPr>
                <w:sz w:val="20"/>
                <w:szCs w:val="20"/>
              </w:rPr>
              <w:t xml:space="preserve">épzési és égési rendszer mérése. </w:t>
            </w:r>
            <w:r w:rsidRPr="009D16FD">
              <w:rPr>
                <w:sz w:val="20"/>
                <w:szCs w:val="20"/>
              </w:rPr>
              <w:t>Teljesítmény, fajlagos gázolajfogyasztás, kipufogógáz koromtartalom, kipufogógáz hőmérséklet hengerenként, turbótöltő levegőnyomás, turbótöltő fordulatszáma, sűrítési végnyomás, égési végnyomás, égési nyomáslefutás, előbefecskendezési szög, porlasztási nyomáslefutás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0624A8" w:rsidRPr="00AE065A" w:rsidRDefault="000624A8" w:rsidP="000624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6FD" w:rsidRPr="00AE065A" w:rsidTr="00333C73">
        <w:trPr>
          <w:trHeight w:val="447"/>
        </w:trPr>
        <w:tc>
          <w:tcPr>
            <w:tcW w:w="660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D16FD" w:rsidRPr="006516CC" w:rsidRDefault="009D16FD" w:rsidP="009D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9D16FD" w:rsidRPr="009D16FD" w:rsidRDefault="009D16FD" w:rsidP="0050685A">
            <w:pPr>
              <w:tabs>
                <w:tab w:val="left" w:pos="1418"/>
                <w:tab w:val="right" w:pos="9072"/>
              </w:tabs>
              <w:ind w:left="-62"/>
              <w:jc w:val="both"/>
              <w:rPr>
                <w:sz w:val="20"/>
                <w:szCs w:val="20"/>
              </w:rPr>
            </w:pPr>
            <w:r w:rsidRPr="009D16FD">
              <w:rPr>
                <w:sz w:val="20"/>
                <w:szCs w:val="20"/>
              </w:rPr>
              <w:t>A keverékk</w:t>
            </w:r>
            <w:r>
              <w:rPr>
                <w:sz w:val="20"/>
                <w:szCs w:val="20"/>
              </w:rPr>
              <w:t xml:space="preserve">épzési és égési rendszer mérése. </w:t>
            </w:r>
            <w:r w:rsidRPr="009D16FD">
              <w:rPr>
                <w:sz w:val="20"/>
                <w:szCs w:val="20"/>
              </w:rPr>
              <w:t>Teljesítmény, fajlagos gázolajfogyasztás, kipufogógáz koromtartalom, kipufogógáz hőmérséklet hengerenként, turbótöltő levegőnyomás, turbótöltő fordulatszáma, sűrítési végnyomás, égési végnyomás, égési nyomáslefutás, előbefecskendezési szög, porlasztási nyomáslefutás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6FD" w:rsidRPr="00AE065A" w:rsidTr="00DB2E4D">
        <w:trPr>
          <w:trHeight w:val="794"/>
        </w:trPr>
        <w:tc>
          <w:tcPr>
            <w:tcW w:w="660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D16FD" w:rsidRPr="006516CC" w:rsidRDefault="009D16FD" w:rsidP="009D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9D16FD" w:rsidRPr="009D16FD" w:rsidRDefault="009D16FD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16F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forgattyús mechanizmus mérése. </w:t>
            </w:r>
            <w:r w:rsidRPr="009D16FD">
              <w:rPr>
                <w:sz w:val="20"/>
                <w:szCs w:val="20"/>
              </w:rPr>
              <w:t>Teljesítmény, sűrítési végnyomás, égéstéri nyomáslefutás, kenőolajnyomás, kenőolajkör hőmérsékletek, kartergáz mennyiség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6FD" w:rsidRPr="00AE065A" w:rsidTr="00DB2E4D">
        <w:trPr>
          <w:trHeight w:val="794"/>
        </w:trPr>
        <w:tc>
          <w:tcPr>
            <w:tcW w:w="660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D16FD" w:rsidRPr="006516CC" w:rsidRDefault="009D16FD" w:rsidP="009D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9D16FD" w:rsidRPr="009D16FD" w:rsidRDefault="009D16FD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segédberendezések mérése. </w:t>
            </w:r>
            <w:r w:rsidRPr="009D16FD">
              <w:rPr>
                <w:sz w:val="20"/>
                <w:szCs w:val="20"/>
              </w:rPr>
              <w:t>Kenőolajkör hőmérsékletek, hűtőkör nyomás, hűtőkör hőmérsékletek, motorfordulatszám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6FD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16FD" w:rsidRPr="00AA2B5E" w:rsidRDefault="009D16FD" w:rsidP="009D16FD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9D16FD" w:rsidRPr="006516CC" w:rsidRDefault="009D16FD" w:rsidP="009D16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82" w:type="dxa"/>
            <w:vAlign w:val="center"/>
          </w:tcPr>
          <w:p w:rsidR="009D16FD" w:rsidRPr="00567BE7" w:rsidRDefault="009D16FD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hidraulikus hajtóművek mérése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9D16FD" w:rsidRPr="00AA2B5E" w:rsidRDefault="009D16FD" w:rsidP="009D16FD">
            <w:pPr>
              <w:jc w:val="center"/>
              <w:rPr>
                <w:b/>
              </w:rPr>
            </w:pPr>
          </w:p>
        </w:tc>
      </w:tr>
      <w:tr w:rsidR="009D16FD" w:rsidRPr="00AE065A" w:rsidTr="00DB2E4D">
        <w:trPr>
          <w:trHeight w:val="794"/>
        </w:trPr>
        <w:tc>
          <w:tcPr>
            <w:tcW w:w="660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D16FD" w:rsidRPr="006516CC" w:rsidRDefault="009D16FD" w:rsidP="009D1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A hidraulikus hajtóművek műszaki állapotát meghatározó főegységek, mérésük:</w:t>
            </w:r>
          </w:p>
          <w:p w:rsidR="009D16FD" w:rsidRPr="00632A25" w:rsidRDefault="00333C73" w:rsidP="00333C73">
            <w:pPr>
              <w:spacing w:line="276" w:lineRule="auto"/>
              <w:ind w:left="1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32A25" w:rsidRPr="00632A25">
              <w:rPr>
                <w:sz w:val="20"/>
                <w:szCs w:val="20"/>
              </w:rPr>
              <w:t>rányváltó, kapcsolóhenger, hidraulikus nyomatékváltó, közbenső fogaskerék áttétel, primer szivattyú, töltőszivattyú, vezérlőszivattyú, töltőszelep és kapcsolószabályzó, szekunder szivattyú, forgásérzékelő, beforgató berendezés, vezérlő- és ellenőrző szervek, olajhűtő.</w:t>
            </w:r>
          </w:p>
        </w:tc>
        <w:tc>
          <w:tcPr>
            <w:tcW w:w="842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9D16FD" w:rsidRPr="00AE065A" w:rsidRDefault="009D16FD" w:rsidP="009D16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A hidraulikus hajtóművek műszaki állapotát meghatározó főegységek, mérésük:</w:t>
            </w:r>
          </w:p>
          <w:p w:rsidR="00632A25" w:rsidRPr="00632A25" w:rsidRDefault="00333C73" w:rsidP="00333C73">
            <w:pPr>
              <w:spacing w:line="276" w:lineRule="auto"/>
              <w:ind w:left="1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32A25" w:rsidRPr="00632A25">
              <w:rPr>
                <w:sz w:val="20"/>
                <w:szCs w:val="20"/>
              </w:rPr>
              <w:t>rányváltó, kapcsolóhenger, hidraulikus nyomatékváltó, közbenső fogaskerék áttétel, primer szivattyú, töltőszivattyú, vezérlőszivattyú, töltőszelep és kapcsolószabályzó, szekunder szivattyú, forgásérzékelő, beforgató berendezés, vezérlő- és ellenőrző szervek, olajhűtő.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82" w:type="dxa"/>
            <w:vAlign w:val="center"/>
          </w:tcPr>
          <w:p w:rsidR="00632A25" w:rsidRPr="00567BE7" w:rsidRDefault="00632A25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segédüzemi gépek mérése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A villamos segédüzemi gépek mérése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Dízelmozdonyok főgen</w:t>
            </w:r>
            <w:r>
              <w:rPr>
                <w:sz w:val="20"/>
                <w:szCs w:val="20"/>
              </w:rPr>
              <w:t xml:space="preserve">erátor gerjesztő gépcsoportja. Akkumulátortöltők mérése. </w:t>
            </w:r>
            <w:r w:rsidRPr="00632A25">
              <w:rPr>
                <w:sz w:val="20"/>
                <w:szCs w:val="20"/>
              </w:rPr>
              <w:t>Akkumul</w:t>
            </w:r>
            <w:r>
              <w:rPr>
                <w:sz w:val="20"/>
                <w:szCs w:val="20"/>
              </w:rPr>
              <w:t>átorok mérése és karbantartása. Rádióberendezések vizsgálatai</w:t>
            </w:r>
            <w:r w:rsidR="000C2B2B">
              <w:rPr>
                <w:sz w:val="20"/>
                <w:szCs w:val="20"/>
              </w:rPr>
              <w:t>.</w:t>
            </w:r>
            <w:r w:rsidR="00333C73">
              <w:rPr>
                <w:sz w:val="20"/>
                <w:szCs w:val="20"/>
              </w:rPr>
              <w:t xml:space="preserve"> </w:t>
            </w:r>
            <w:r w:rsidRPr="00632A25">
              <w:rPr>
                <w:sz w:val="20"/>
                <w:szCs w:val="20"/>
              </w:rPr>
              <w:t>A nem villamos segédüzemi gépek mérése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Tüzelőanyag szivattyú, vízszivattyúk, kenőolaj szivattyúk, adagoló szivattyúk, porlasztók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82" w:type="dxa"/>
            <w:vAlign w:val="center"/>
          </w:tcPr>
          <w:p w:rsidR="00632A25" w:rsidRPr="00567BE7" w:rsidRDefault="00632A25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pneumatikus hálózatok minősítése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légsűrítők vizsgálata, mérése. </w:t>
            </w:r>
            <w:r w:rsidRPr="00632A25">
              <w:rPr>
                <w:sz w:val="20"/>
                <w:szCs w:val="20"/>
              </w:rPr>
              <w:t>Működésvizsgálat, üresjárati próba, kenőolaj, járás, méretek, kopások, tömítések, csapágyak, kenési rendszer, szállított levegő hőmérséklete, biztonsági szelep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50685A">
        <w:trPr>
          <w:trHeight w:val="519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Teljesítményvizsgálatok, mérések, melegedés, szállított levegő mennyisége, hajt</w:t>
            </w:r>
            <w:r>
              <w:rPr>
                <w:sz w:val="20"/>
                <w:szCs w:val="20"/>
              </w:rPr>
              <w:t xml:space="preserve">ómotor teljesítményfelvétele. </w:t>
            </w:r>
            <w:r w:rsidRPr="00632A25">
              <w:rPr>
                <w:sz w:val="20"/>
                <w:szCs w:val="20"/>
              </w:rPr>
              <w:t>Légsűrítő üresjárati szabályzás, légs</w:t>
            </w:r>
            <w:r>
              <w:rPr>
                <w:sz w:val="20"/>
                <w:szCs w:val="20"/>
              </w:rPr>
              <w:t xml:space="preserve">űrítő szállítási teljesítménye. Biztonsági szelepek vizsgálata. </w:t>
            </w:r>
            <w:r w:rsidRPr="00632A25">
              <w:rPr>
                <w:sz w:val="20"/>
                <w:szCs w:val="20"/>
              </w:rPr>
              <w:t>A léghálózat tároló, szállító, légtisztító elemeinek v</w:t>
            </w:r>
            <w:r>
              <w:rPr>
                <w:sz w:val="20"/>
                <w:szCs w:val="20"/>
              </w:rPr>
              <w:t xml:space="preserve">izsgálata, tömörségvizsgálatok. A fékhengerek minősítése. </w:t>
            </w:r>
            <w:r w:rsidRPr="00632A25">
              <w:rPr>
                <w:sz w:val="20"/>
                <w:szCs w:val="20"/>
              </w:rPr>
              <w:t xml:space="preserve">Tömítések, tömörség, hengertest, henger, </w:t>
            </w:r>
            <w:r w:rsidRPr="00632A25">
              <w:rPr>
                <w:sz w:val="20"/>
                <w:szCs w:val="20"/>
              </w:rPr>
              <w:lastRenderedPageBreak/>
              <w:t>hengerfedél, dugattyútest, dugattyúrúd, nyomórugók, feszítőgyűrű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>Egyéb pneumatikus berendezések vizsgálata.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  <w:vAlign w:val="center"/>
          </w:tcPr>
          <w:p w:rsidR="00632A25" w:rsidRPr="00567BE7" w:rsidRDefault="00632A25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Vasúti fékberendezések minősítő mérései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 xml:space="preserve">A mozdonyvezetői </w:t>
            </w:r>
            <w:r>
              <w:rPr>
                <w:sz w:val="20"/>
                <w:szCs w:val="20"/>
              </w:rPr>
              <w:t xml:space="preserve">fékezőszelepek (D tip.) mérése. </w:t>
            </w:r>
            <w:r w:rsidRPr="00632A25">
              <w:rPr>
                <w:sz w:val="20"/>
                <w:szCs w:val="20"/>
              </w:rPr>
              <w:t>A nyomást</w:t>
            </w:r>
            <w:r>
              <w:rPr>
                <w:sz w:val="20"/>
                <w:szCs w:val="20"/>
              </w:rPr>
              <w:t xml:space="preserve">artó edények, műszereik mérése. </w:t>
            </w:r>
            <w:r w:rsidRPr="00632A25">
              <w:rPr>
                <w:sz w:val="20"/>
                <w:szCs w:val="20"/>
              </w:rPr>
              <w:t>Az áramlásjelzők (</w:t>
            </w:r>
            <w:r>
              <w:rPr>
                <w:sz w:val="20"/>
                <w:szCs w:val="20"/>
              </w:rPr>
              <w:t xml:space="preserve">STA) vizsgálata. </w:t>
            </w:r>
            <w:r w:rsidRPr="00632A25">
              <w:rPr>
                <w:sz w:val="20"/>
                <w:szCs w:val="20"/>
              </w:rPr>
              <w:t>A n</w:t>
            </w:r>
            <w:r>
              <w:rPr>
                <w:sz w:val="20"/>
                <w:szCs w:val="20"/>
              </w:rPr>
              <w:t xml:space="preserve">yomásmódosítók (Dü) vizsgálata. </w:t>
            </w:r>
            <w:r w:rsidRPr="00632A25">
              <w:rPr>
                <w:sz w:val="20"/>
                <w:szCs w:val="20"/>
              </w:rPr>
              <w:t>Az oldószelepek (ALE) vizsgálata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632A25" w:rsidRDefault="00632A25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2A25">
              <w:rPr>
                <w:sz w:val="20"/>
                <w:szCs w:val="20"/>
              </w:rPr>
              <w:t xml:space="preserve">A mozdonyvezetői </w:t>
            </w:r>
            <w:r w:rsidR="00B130DF">
              <w:rPr>
                <w:sz w:val="20"/>
                <w:szCs w:val="20"/>
              </w:rPr>
              <w:t xml:space="preserve">fékezőszelepek (D tip.) mérése. </w:t>
            </w:r>
            <w:r w:rsidRPr="00632A25">
              <w:rPr>
                <w:sz w:val="20"/>
                <w:szCs w:val="20"/>
              </w:rPr>
              <w:t>A nyomást</w:t>
            </w:r>
            <w:r w:rsidR="00B130DF">
              <w:rPr>
                <w:sz w:val="20"/>
                <w:szCs w:val="20"/>
              </w:rPr>
              <w:t xml:space="preserve">artó edények, műszereik mérése. </w:t>
            </w:r>
            <w:r w:rsidRPr="00632A25">
              <w:rPr>
                <w:sz w:val="20"/>
                <w:szCs w:val="20"/>
              </w:rPr>
              <w:t xml:space="preserve">Az </w:t>
            </w:r>
            <w:r w:rsidR="00B130DF">
              <w:rPr>
                <w:sz w:val="20"/>
                <w:szCs w:val="20"/>
              </w:rPr>
              <w:t xml:space="preserve">áramlásjelzők (STA) vizsgálata. </w:t>
            </w:r>
            <w:r w:rsidRPr="00632A25">
              <w:rPr>
                <w:sz w:val="20"/>
                <w:szCs w:val="20"/>
              </w:rPr>
              <w:t>A n</w:t>
            </w:r>
            <w:r w:rsidR="00B130DF">
              <w:rPr>
                <w:sz w:val="20"/>
                <w:szCs w:val="20"/>
              </w:rPr>
              <w:t xml:space="preserve">yomásmódosítók (Dü) vizsgálata. </w:t>
            </w:r>
            <w:r w:rsidRPr="00632A25">
              <w:rPr>
                <w:sz w:val="20"/>
                <w:szCs w:val="20"/>
              </w:rPr>
              <w:t>Az oldószelepek (ALE) vizsgálata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B130DF" w:rsidRDefault="00B130DF" w:rsidP="00CA672C">
            <w:pPr>
              <w:tabs>
                <w:tab w:val="left" w:pos="135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>A jármű légfékberendezésé</w:t>
            </w:r>
            <w:r>
              <w:rPr>
                <w:sz w:val="20"/>
                <w:szCs w:val="20"/>
              </w:rPr>
              <w:t xml:space="preserve">nek vizsgálata, mérési program. </w:t>
            </w:r>
            <w:r w:rsidRPr="00B130DF">
              <w:rPr>
                <w:sz w:val="20"/>
                <w:szCs w:val="20"/>
              </w:rPr>
              <w:t>Fékezési jellemzők mérése, csúszásgátló vizsgálata, teljes üzemi fékezés, tömörségi vizsgálatok (jármű), átbocsátóképesség, perdülésgátló, gyorsfékezés vizsgálata, tömörségi vizsgálat (fékezőszelepek), tömörségi vizsgálat (kormányszelep), nyomásigazítás, áramlásjelzők, fékezőszelep átbocsátó képessé</w:t>
            </w:r>
            <w:r>
              <w:rPr>
                <w:sz w:val="20"/>
                <w:szCs w:val="20"/>
              </w:rPr>
              <w:t>g.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2" w:type="dxa"/>
          </w:tcPr>
          <w:p w:rsidR="00632A25" w:rsidRPr="00AE065A" w:rsidRDefault="00B130DF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>A jármű légfékberendezésé</w:t>
            </w:r>
            <w:r>
              <w:rPr>
                <w:sz w:val="20"/>
                <w:szCs w:val="20"/>
              </w:rPr>
              <w:t xml:space="preserve">nek vizsgálata, mérési program. </w:t>
            </w:r>
            <w:r w:rsidRPr="00B130DF">
              <w:rPr>
                <w:sz w:val="20"/>
                <w:szCs w:val="20"/>
              </w:rPr>
              <w:t>Fékezési jellemzők mérése, csúszásgátló vizsgálata, teljes üzemi fékezés, tömörségi vizsgálatok (jármű), átbocsátóképesség, perdülésgátló, gyorsfékezés vizsgálata, tömörségi vizsgálat (fékezőszelepek), tömörségi vizsgálat (kormányszelep), nyomásigazítás, áramlásjelzők, fékezőszelep átbocsátó képessé</w:t>
            </w:r>
            <w:r>
              <w:rPr>
                <w:sz w:val="20"/>
                <w:szCs w:val="20"/>
              </w:rPr>
              <w:t>g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82" w:type="dxa"/>
            <w:vAlign w:val="center"/>
          </w:tcPr>
          <w:p w:rsidR="00632A25" w:rsidRPr="00567BE7" w:rsidRDefault="00632A25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járműszerkezetek mérése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2" w:type="dxa"/>
          </w:tcPr>
          <w:p w:rsidR="00632A25" w:rsidRPr="00AE065A" w:rsidRDefault="00B130DF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30DF">
              <w:rPr>
                <w:sz w:val="20"/>
              </w:rPr>
              <w:t>Az alváz és szekrényszerkezetek mérése</w:t>
            </w:r>
            <w:r w:rsidR="000C2B2B">
              <w:rPr>
                <w:sz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B130DF" w:rsidRDefault="00B130DF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 xml:space="preserve">Alvázszerkezetek, hegesztett kivitelű főkeretek, öntött és hegesztett kivitelű alvázak, kéttengelyű teherkocsi alvázak, szekrényváz, burkolat </w:t>
            </w:r>
            <w:r>
              <w:rPr>
                <w:sz w:val="20"/>
                <w:szCs w:val="20"/>
              </w:rPr>
              <w:t xml:space="preserve">elemek. A forgóvázkeret mérése. </w:t>
            </w:r>
            <w:r w:rsidRPr="00B130DF">
              <w:rPr>
                <w:sz w:val="20"/>
                <w:szCs w:val="20"/>
              </w:rPr>
              <w:t>A hordmű</w:t>
            </w:r>
            <w:r>
              <w:rPr>
                <w:sz w:val="20"/>
                <w:szCs w:val="20"/>
              </w:rPr>
              <w:t xml:space="preserve">szerkezet elemeinek minősítése. </w:t>
            </w:r>
            <w:r w:rsidRPr="00B130DF">
              <w:rPr>
                <w:sz w:val="20"/>
                <w:szCs w:val="20"/>
              </w:rPr>
              <w:t>A fékrudazatok vizsgálata</w:t>
            </w:r>
            <w:r w:rsidR="000C2B2B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2" w:type="dxa"/>
          </w:tcPr>
          <w:p w:rsidR="00632A25" w:rsidRPr="00B130DF" w:rsidRDefault="00B130DF" w:rsidP="008E0D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>Tengelycsap hibái, csésze, bélésfém, portárcsa</w:t>
            </w:r>
            <w:r>
              <w:rPr>
                <w:sz w:val="20"/>
                <w:szCs w:val="20"/>
              </w:rPr>
              <w:t xml:space="preserve">, gördülőcsapágyak. A fogaskerekek minősítése:  </w:t>
            </w:r>
            <w:r w:rsidR="008E0D69">
              <w:rPr>
                <w:sz w:val="20"/>
                <w:szCs w:val="20"/>
              </w:rPr>
              <w:t>f</w:t>
            </w:r>
            <w:r w:rsidRPr="00B130DF">
              <w:rPr>
                <w:sz w:val="20"/>
                <w:szCs w:val="20"/>
              </w:rPr>
              <w:t>ogvastagság, osztás, profil, oldalütés, fogirány</w:t>
            </w:r>
            <w:r w:rsidR="000C2B2B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Tr="00647A9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2" w:type="dxa"/>
            <w:vAlign w:val="center"/>
          </w:tcPr>
          <w:p w:rsidR="00632A25" w:rsidRPr="00567BE7" w:rsidRDefault="00632A25" w:rsidP="00CA672C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vasúti futóművek minősítése</w:t>
            </w:r>
          </w:p>
        </w:tc>
        <w:tc>
          <w:tcPr>
            <w:tcW w:w="3132" w:type="dxa"/>
            <w:gridSpan w:val="3"/>
            <w:shd w:val="clear" w:color="auto" w:fill="BFBFBF" w:themeFill="background1" w:themeFillShade="BF"/>
          </w:tcPr>
          <w:p w:rsidR="00632A25" w:rsidRPr="00AA2B5E" w:rsidRDefault="00632A25" w:rsidP="00632A25">
            <w:pPr>
              <w:jc w:val="center"/>
              <w:rPr>
                <w:b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2" w:type="dxa"/>
          </w:tcPr>
          <w:p w:rsidR="00632A25" w:rsidRPr="00B130DF" w:rsidRDefault="00B130DF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>A kerékpárok ellenőrző mérései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AE065A" w:rsidRDefault="00B130DF" w:rsidP="00CA67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>A kerékpárok ellenőrző mérései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B130DF" w:rsidRDefault="00B130DF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0DF">
              <w:rPr>
                <w:sz w:val="20"/>
                <w:szCs w:val="20"/>
              </w:rPr>
              <w:t>Keréktáv, nyomszélesség, abroncsvastagság, nyomkarima magasság, vastagság, kritikus érintőpont-távolság, futókör átmérő, ultrahangos repedésvizsgálatok, kerékabroncs minősítése, elfordulás, lazulás, kerékváz, csap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A25" w:rsidRPr="00AE065A" w:rsidTr="00DB2E4D">
        <w:trPr>
          <w:trHeight w:val="794"/>
        </w:trPr>
        <w:tc>
          <w:tcPr>
            <w:tcW w:w="660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2A25" w:rsidRPr="006516CC" w:rsidRDefault="00632A25" w:rsidP="0063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2" w:type="dxa"/>
          </w:tcPr>
          <w:p w:rsidR="00632A25" w:rsidRPr="00B130DF" w:rsidRDefault="00B130DF" w:rsidP="00CA67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Féktárcsák vizsgálata.</w:t>
            </w:r>
          </w:p>
        </w:tc>
        <w:tc>
          <w:tcPr>
            <w:tcW w:w="842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632A25" w:rsidRPr="00AE065A" w:rsidRDefault="00632A25" w:rsidP="00632A2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B523E7">
      <w:pPr>
        <w:jc w:val="center"/>
        <w:rPr>
          <w:sz w:val="20"/>
          <w:szCs w:val="20"/>
        </w:rPr>
      </w:pPr>
    </w:p>
    <w:sectPr w:rsidR="00AB22E3" w:rsidSect="00C44D63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3B" w:rsidRDefault="008A583B" w:rsidP="00B2485D">
      <w:r>
        <w:separator/>
      </w:r>
    </w:p>
  </w:endnote>
  <w:endnote w:type="continuationSeparator" w:id="1">
    <w:p w:rsidR="008A583B" w:rsidRDefault="008A583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C44D63" w:rsidRDefault="001B69B7">
        <w:pPr>
          <w:pStyle w:val="llb"/>
          <w:jc w:val="center"/>
        </w:pPr>
        <w:fldSimple w:instr="PAGE   \* MERGEFORMAT">
          <w:r w:rsidR="0050685A">
            <w:rPr>
              <w:noProof/>
            </w:rPr>
            <w:t>10</w:t>
          </w:r>
        </w:fldSimple>
      </w:p>
      <w:p w:rsidR="00C44D63" w:rsidRDefault="00C44D63" w:rsidP="00411F6A">
        <w:pPr>
          <w:pStyle w:val="llb"/>
          <w:jc w:val="center"/>
        </w:pPr>
        <w:r>
          <w:t>5552504.raep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3B" w:rsidRDefault="008A583B" w:rsidP="00B2485D">
      <w:r>
        <w:separator/>
      </w:r>
    </w:p>
  </w:footnote>
  <w:footnote w:type="continuationSeparator" w:id="1">
    <w:p w:rsidR="008A583B" w:rsidRDefault="008A583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63" w:rsidRPr="00340762" w:rsidRDefault="00C44D6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624A8"/>
    <w:rsid w:val="00090A1B"/>
    <w:rsid w:val="000A46D8"/>
    <w:rsid w:val="000B3E0B"/>
    <w:rsid w:val="000B579E"/>
    <w:rsid w:val="000C2B2B"/>
    <w:rsid w:val="000F3FF0"/>
    <w:rsid w:val="00115F36"/>
    <w:rsid w:val="0011725D"/>
    <w:rsid w:val="00135E67"/>
    <w:rsid w:val="001411B8"/>
    <w:rsid w:val="0015033B"/>
    <w:rsid w:val="00162474"/>
    <w:rsid w:val="00164A00"/>
    <w:rsid w:val="00183A93"/>
    <w:rsid w:val="001A511A"/>
    <w:rsid w:val="001B69B7"/>
    <w:rsid w:val="001F666C"/>
    <w:rsid w:val="00225011"/>
    <w:rsid w:val="00255DB3"/>
    <w:rsid w:val="00264B0B"/>
    <w:rsid w:val="002B6D9D"/>
    <w:rsid w:val="002E6AD5"/>
    <w:rsid w:val="00330B7C"/>
    <w:rsid w:val="00333C73"/>
    <w:rsid w:val="00340762"/>
    <w:rsid w:val="0035197E"/>
    <w:rsid w:val="00383AF2"/>
    <w:rsid w:val="003A3CDC"/>
    <w:rsid w:val="003A64DC"/>
    <w:rsid w:val="003F3D20"/>
    <w:rsid w:val="00411F6A"/>
    <w:rsid w:val="00413957"/>
    <w:rsid w:val="00416454"/>
    <w:rsid w:val="00424FB3"/>
    <w:rsid w:val="004C7770"/>
    <w:rsid w:val="004C7A3C"/>
    <w:rsid w:val="004F3AF4"/>
    <w:rsid w:val="0050685A"/>
    <w:rsid w:val="00512211"/>
    <w:rsid w:val="005448D0"/>
    <w:rsid w:val="00567BE7"/>
    <w:rsid w:val="005E3215"/>
    <w:rsid w:val="005F1E25"/>
    <w:rsid w:val="005F207F"/>
    <w:rsid w:val="005F4E54"/>
    <w:rsid w:val="00632A25"/>
    <w:rsid w:val="00647A9D"/>
    <w:rsid w:val="006516CC"/>
    <w:rsid w:val="006C591C"/>
    <w:rsid w:val="006C635A"/>
    <w:rsid w:val="00703883"/>
    <w:rsid w:val="00763EE3"/>
    <w:rsid w:val="00771CF1"/>
    <w:rsid w:val="00792089"/>
    <w:rsid w:val="007A3722"/>
    <w:rsid w:val="007E05E3"/>
    <w:rsid w:val="00840500"/>
    <w:rsid w:val="008621EF"/>
    <w:rsid w:val="008A583B"/>
    <w:rsid w:val="008C0910"/>
    <w:rsid w:val="008E0D69"/>
    <w:rsid w:val="008F034E"/>
    <w:rsid w:val="00971AB4"/>
    <w:rsid w:val="009C729F"/>
    <w:rsid w:val="009D16FD"/>
    <w:rsid w:val="009E2592"/>
    <w:rsid w:val="009F0791"/>
    <w:rsid w:val="009F3CBC"/>
    <w:rsid w:val="00A23D00"/>
    <w:rsid w:val="00A87D59"/>
    <w:rsid w:val="00AA2B5E"/>
    <w:rsid w:val="00AB22E3"/>
    <w:rsid w:val="00AE065A"/>
    <w:rsid w:val="00B03D8D"/>
    <w:rsid w:val="00B04A82"/>
    <w:rsid w:val="00B130DF"/>
    <w:rsid w:val="00B2485D"/>
    <w:rsid w:val="00B523E7"/>
    <w:rsid w:val="00B543A3"/>
    <w:rsid w:val="00B82139"/>
    <w:rsid w:val="00BE25D0"/>
    <w:rsid w:val="00BF7A62"/>
    <w:rsid w:val="00C34506"/>
    <w:rsid w:val="00C44D63"/>
    <w:rsid w:val="00C6286A"/>
    <w:rsid w:val="00CA663C"/>
    <w:rsid w:val="00CA672C"/>
    <w:rsid w:val="00D07254"/>
    <w:rsid w:val="00D11A9D"/>
    <w:rsid w:val="00D348D8"/>
    <w:rsid w:val="00D87F54"/>
    <w:rsid w:val="00D93ACD"/>
    <w:rsid w:val="00DB2E4D"/>
    <w:rsid w:val="00DC4068"/>
    <w:rsid w:val="00DD7EBB"/>
    <w:rsid w:val="00DE6760"/>
    <w:rsid w:val="00E502D5"/>
    <w:rsid w:val="00F124AF"/>
    <w:rsid w:val="00F22839"/>
    <w:rsid w:val="00F64AD2"/>
    <w:rsid w:val="00FD0B7D"/>
    <w:rsid w:val="00FD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87F5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87F5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87F5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87F5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87F5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87F5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87F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87F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87F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87F5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87F5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2359</Words>
  <Characters>16281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2017-10-13T20:20:00Z</dcterms:created>
  <dcterms:modified xsi:type="dcterms:W3CDTF">2017-10-13T20:20:00Z</dcterms:modified>
</cp:coreProperties>
</file>