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348A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574CE8">
        <w:rPr>
          <w:b/>
          <w:sz w:val="40"/>
          <w:szCs w:val="40"/>
        </w:rPr>
        <w:t>ízgazdálkodó technikus</w:t>
      </w:r>
    </w:p>
    <w:p w:rsidR="00061263" w:rsidRPr="007E05E3" w:rsidRDefault="00793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5B348A">
        <w:rPr>
          <w:sz w:val="28"/>
          <w:szCs w:val="28"/>
        </w:rPr>
        <w:t xml:space="preserve"> </w:t>
      </w:r>
      <w:r w:rsidR="00574CE8">
        <w:rPr>
          <w:sz w:val="28"/>
          <w:szCs w:val="28"/>
        </w:rPr>
        <w:t>54 853 02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6239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239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6239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239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6239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239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6239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6239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5B348A" w:rsidRDefault="00512211" w:rsidP="005B348A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F4B8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E84311" w:rsidP="005B3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50" w:type="dxa"/>
            <w:vAlign w:val="center"/>
          </w:tcPr>
          <w:p w:rsidR="00D93ACD" w:rsidRDefault="00793335" w:rsidP="005B3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11667</w:t>
            </w:r>
            <w:r w:rsidR="00DE6BB2">
              <w:rPr>
                <w:b/>
                <w:sz w:val="28"/>
                <w:szCs w:val="28"/>
              </w:rPr>
              <w:t>-16</w:t>
            </w:r>
          </w:p>
          <w:p w:rsidR="00DE6BB2" w:rsidRPr="00AE065A" w:rsidRDefault="00E84311" w:rsidP="005B34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Vízkárelhárítás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5B348A" w:rsidTr="008F4B8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5B348A" w:rsidRDefault="003F3D20" w:rsidP="005B3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5B348A" w:rsidRDefault="00D60738" w:rsidP="005B34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348A">
              <w:rPr>
                <w:sz w:val="24"/>
                <w:szCs w:val="24"/>
              </w:rPr>
              <w:t>80</w:t>
            </w:r>
          </w:p>
        </w:tc>
        <w:tc>
          <w:tcPr>
            <w:tcW w:w="4750" w:type="dxa"/>
            <w:vAlign w:val="center"/>
          </w:tcPr>
          <w:p w:rsidR="003F3D20" w:rsidRPr="005B348A" w:rsidRDefault="00D60738" w:rsidP="005B34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348A">
              <w:rPr>
                <w:sz w:val="24"/>
                <w:szCs w:val="24"/>
              </w:rPr>
              <w:t>Vízkárelhárítás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5B348A" w:rsidRDefault="003F3D20" w:rsidP="005B3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F4B8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93ACD" w:rsidRPr="00567BE7" w:rsidRDefault="00D60738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Ármentesítés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Töltésépítés: alapozás, tömörítés, rézsű kia</w:t>
            </w:r>
            <w:r>
              <w:rPr>
                <w:sz w:val="20"/>
                <w:szCs w:val="20"/>
              </w:rPr>
              <w:t xml:space="preserve">lakítás, töltés korona építése. </w:t>
            </w:r>
            <w:r w:rsidRPr="00594DA8">
              <w:rPr>
                <w:sz w:val="20"/>
                <w:szCs w:val="20"/>
              </w:rPr>
              <w:t>Töltésburkolás: előregyártott burkolatok, helyben készült vízzáró burkolatok építése, kőrakások készítése.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F4B8B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Rézsűk gyepesítése: talajelőkészítés, fű</w:t>
            </w:r>
            <w:r>
              <w:rPr>
                <w:sz w:val="20"/>
                <w:szCs w:val="20"/>
              </w:rPr>
              <w:t xml:space="preserve">magvetés, gyepápolás, kaszálás. </w:t>
            </w:r>
            <w:r w:rsidRPr="00594DA8">
              <w:rPr>
                <w:sz w:val="20"/>
                <w:szCs w:val="20"/>
              </w:rPr>
              <w:t>Hullámterek kialakítása, ártéri erdők telepítése, gondozása, előterek karbantartása.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5B348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5B348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 xml:space="preserve">Töltések tartozékainak fenntartása: burkolatjavítás, utak </w:t>
            </w:r>
            <w:r>
              <w:rPr>
                <w:sz w:val="20"/>
                <w:szCs w:val="20"/>
              </w:rPr>
              <w:t xml:space="preserve">karbantartása, festés, mázolás. </w:t>
            </w:r>
            <w:r w:rsidRPr="00594DA8">
              <w:rPr>
                <w:sz w:val="20"/>
                <w:szCs w:val="20"/>
              </w:rPr>
              <w:t>Árvízvédelmi anyagok tárolása, fenntartása: homokdepóniák rendezése, kődepóniák rakása, rőzseművek készítése.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90A1B" w:rsidRPr="00AE065A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Árvízvédelmi eszközök, kéziszerszámok ellenőrzése, szivattyúk, kompresszorok karbantartása.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0738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60738" w:rsidRPr="00567BE7" w:rsidRDefault="00D60738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Ár- és belvízvédekezés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594DA8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 xml:space="preserve">Védekezés </w:t>
            </w:r>
            <w:r w:rsidR="00E84311">
              <w:rPr>
                <w:sz w:val="20"/>
                <w:szCs w:val="20"/>
              </w:rPr>
              <w:t>a vízoldali árvízi károk ellen: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hullámverés: fóliázás, homokzsákok lerakása, rőzseművek rakása;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elhabolás: homokzsákok rakása, fóliázás, korszerű anyagok alkalmazása;</w:t>
            </w:r>
          </w:p>
          <w:p w:rsidR="00090A1B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csurgás: a csurgás helyének keresése, a befolyó nyílás elzárása. 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94DA8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 xml:space="preserve">Védekezés a vízoldali árvízi károk ellen: 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hullámverés: fóliázás, homokzsákok lerakása, rőzseművek rakása;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elhabolás: homokzsákok rakása, fóliázás, korszerű anyagok alkalmazása;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 xml:space="preserve">csurgás: a csurgás helyének keresése, a befolyó nyílás elzárása. 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 xml:space="preserve">Védekezés mentett oldali árvízi károk ellen: </w:t>
            </w:r>
          </w:p>
          <w:p w:rsidR="00594DA8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buzgár: védekezés homokzsákokból rakott ellennyomó medencével, előre gyártott műanyag kerettel;</w:t>
            </w:r>
          </w:p>
          <w:p w:rsidR="00090A1B" w:rsidRPr="00594DA8" w:rsidRDefault="00594DA8" w:rsidP="00440DF1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–</w:t>
            </w:r>
            <w:r w:rsidRPr="00594DA8">
              <w:rPr>
                <w:sz w:val="20"/>
                <w:szCs w:val="20"/>
              </w:rPr>
              <w:tab/>
              <w:t>fakadó víz: szorítótöltések készítése homokzsákból, előre gyártott pallókból. 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594DA8" w:rsidRDefault="00594DA8" w:rsidP="00440D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Védekezés töltéskoronát meghágó árvizek ellen:</w:t>
            </w:r>
            <w:r w:rsidR="00440DF1">
              <w:rPr>
                <w:sz w:val="20"/>
                <w:szCs w:val="20"/>
              </w:rPr>
              <w:t xml:space="preserve"> </w:t>
            </w:r>
            <w:r w:rsidRPr="00594DA8">
              <w:rPr>
                <w:sz w:val="20"/>
                <w:szCs w:val="20"/>
              </w:rPr>
              <w:t>töltésmagasítás földből;</w:t>
            </w:r>
            <w:r w:rsidR="00440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nyúlgát építése.</w:t>
            </w:r>
            <w:r w:rsidR="00440DF1">
              <w:rPr>
                <w:sz w:val="20"/>
                <w:szCs w:val="20"/>
              </w:rPr>
              <w:t xml:space="preserve"> </w:t>
            </w:r>
            <w:r w:rsidRPr="00594DA8">
              <w:rPr>
                <w:sz w:val="20"/>
                <w:szCs w:val="20"/>
              </w:rPr>
              <w:t>Védekezés töltéstestet érő árvízi károk ellen:</w:t>
            </w:r>
            <w:r w:rsidR="00440DF1">
              <w:rPr>
                <w:sz w:val="20"/>
                <w:szCs w:val="20"/>
              </w:rPr>
              <w:t xml:space="preserve"> </w:t>
            </w:r>
            <w:r w:rsidRPr="00594DA8">
              <w:rPr>
                <w:sz w:val="20"/>
                <w:szCs w:val="20"/>
              </w:rPr>
              <w:t>t</w:t>
            </w:r>
            <w:r w:rsidR="00440DF1">
              <w:rPr>
                <w:sz w:val="20"/>
                <w:szCs w:val="20"/>
              </w:rPr>
              <w:t>ö</w:t>
            </w:r>
            <w:r w:rsidRPr="00594DA8">
              <w:rPr>
                <w:sz w:val="20"/>
                <w:szCs w:val="20"/>
              </w:rPr>
              <w:t>ltés átázás</w:t>
            </w:r>
            <w:r w:rsidR="00440DF1">
              <w:rPr>
                <w:sz w:val="20"/>
                <w:szCs w:val="20"/>
              </w:rPr>
              <w:t>,</w:t>
            </w:r>
            <w:r w:rsidRPr="00594DA8">
              <w:rPr>
                <w:sz w:val="20"/>
                <w:szCs w:val="20"/>
              </w:rPr>
              <w:t xml:space="preserve"> vízoldali fóliázás;elcsúszás: bordás megtámasztás homokzsákkal, kővel, egyéb anyaggal. 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Védekezés belvízi elöntések ellen településeken: csapadék csatornák tisztítása, csatornák víznyelőinek tisztítása, csapadékvíz t</w:t>
            </w:r>
            <w:r>
              <w:rPr>
                <w:sz w:val="20"/>
                <w:szCs w:val="20"/>
              </w:rPr>
              <w:t xml:space="preserve">ározók karbantartása, javítása. </w:t>
            </w:r>
            <w:r w:rsidRPr="00594DA8">
              <w:rPr>
                <w:sz w:val="20"/>
                <w:szCs w:val="20"/>
              </w:rPr>
              <w:t>Elöntött létesítmények víztelenítése szivattyúzássa</w:t>
            </w:r>
            <w:r>
              <w:rPr>
                <w:sz w:val="20"/>
                <w:szCs w:val="20"/>
              </w:rPr>
              <w:t xml:space="preserve">l. </w:t>
            </w:r>
            <w:r w:rsidRPr="00594DA8">
              <w:rPr>
                <w:sz w:val="20"/>
                <w:szCs w:val="20"/>
              </w:rPr>
              <w:t xml:space="preserve">A szivattyútelepek üzemeltetése (vízkivételi, termelő, átemelő és </w:t>
            </w:r>
            <w:r w:rsidR="00E84311">
              <w:rPr>
                <w:sz w:val="20"/>
                <w:szCs w:val="20"/>
              </w:rPr>
              <w:t>nyomásfokozó szivattyútelepek).</w:t>
            </w:r>
            <w:r w:rsidR="00440DF1">
              <w:rPr>
                <w:sz w:val="20"/>
                <w:szCs w:val="20"/>
              </w:rPr>
              <w:t xml:space="preserve"> </w:t>
            </w:r>
            <w:r w:rsidR="00E84311"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090A1B" w:rsidRPr="00594DA8" w:rsidRDefault="00E84311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Védekezés belvízi elöntések ellen külterületen: b</w:t>
            </w:r>
            <w:r>
              <w:rPr>
                <w:sz w:val="20"/>
                <w:szCs w:val="20"/>
              </w:rPr>
              <w:t xml:space="preserve">elvíz csatornák tisztítása, </w:t>
            </w:r>
            <w:r w:rsidRPr="00594DA8">
              <w:rPr>
                <w:sz w:val="20"/>
                <w:szCs w:val="20"/>
              </w:rPr>
              <w:t>műtárgyainak javítása, szántófö</w:t>
            </w:r>
            <w:r>
              <w:rPr>
                <w:sz w:val="20"/>
                <w:szCs w:val="20"/>
              </w:rPr>
              <w:t xml:space="preserve">ldek vízállásainak levezetése.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0738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D60738" w:rsidRPr="00567BE7" w:rsidRDefault="00D60738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Szivattyúk üzemeltetése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8F4B8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Gravitációs csatornahálózatok: átemelők, biztonsági műtárgyak, zsilipaknák, tiltók, szabályozási műtár</w:t>
            </w:r>
            <w:r>
              <w:rPr>
                <w:sz w:val="20"/>
                <w:szCs w:val="20"/>
              </w:rPr>
              <w:t xml:space="preserve">gyak, egyéb hálózati műtárgyak.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Kényszeráramoltatású rendszerek eszközei, anyagai: szivattyúk</w:t>
            </w:r>
            <w:r>
              <w:rPr>
                <w:sz w:val="20"/>
                <w:szCs w:val="20"/>
              </w:rPr>
              <w:t xml:space="preserve">, szivornyák, vákuumszivattyúk. </w:t>
            </w:r>
            <w:r w:rsidRPr="00594DA8">
              <w:rPr>
                <w:sz w:val="20"/>
                <w:szCs w:val="20"/>
              </w:rPr>
              <w:t>Tömítőanyagok használati je</w:t>
            </w:r>
            <w:r>
              <w:rPr>
                <w:sz w:val="20"/>
                <w:szCs w:val="20"/>
              </w:rPr>
              <w:t xml:space="preserve">llemzői, alkalmazási szabályai. </w:t>
            </w:r>
            <w:r w:rsidRPr="00594DA8">
              <w:rPr>
                <w:sz w:val="20"/>
                <w:szCs w:val="20"/>
              </w:rPr>
              <w:t>Csőanyagok, csősze</w:t>
            </w:r>
            <w:r>
              <w:rPr>
                <w:sz w:val="20"/>
                <w:szCs w:val="20"/>
              </w:rPr>
              <w:t xml:space="preserve">rkezetek, szerelvények, idomok. </w:t>
            </w:r>
            <w:r w:rsidRPr="00594DA8">
              <w:rPr>
                <w:sz w:val="20"/>
                <w:szCs w:val="20"/>
              </w:rPr>
              <w:t>Acélcsövek tulaj</w:t>
            </w:r>
            <w:r>
              <w:rPr>
                <w:sz w:val="20"/>
                <w:szCs w:val="20"/>
              </w:rPr>
              <w:t xml:space="preserve">donságai és szereléstechnikája. </w:t>
            </w:r>
            <w:r w:rsidRPr="00594DA8">
              <w:rPr>
                <w:sz w:val="20"/>
                <w:szCs w:val="20"/>
              </w:rPr>
              <w:t>Légte</w:t>
            </w:r>
            <w:r>
              <w:rPr>
                <w:sz w:val="20"/>
                <w:szCs w:val="20"/>
              </w:rPr>
              <w:t xml:space="preserve">chnikai csőhálózati rendszerek. </w:t>
            </w:r>
            <w:r w:rsidRPr="00594DA8">
              <w:rPr>
                <w:sz w:val="20"/>
                <w:szCs w:val="20"/>
              </w:rPr>
              <w:t>Rézcsövek tulajd</w:t>
            </w:r>
            <w:r>
              <w:rPr>
                <w:sz w:val="20"/>
                <w:szCs w:val="20"/>
              </w:rPr>
              <w:t xml:space="preserve">onságai és szereléstechnikája.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D60738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Műanyagcsövek tulajd</w:t>
            </w:r>
            <w:r>
              <w:rPr>
                <w:sz w:val="20"/>
                <w:szCs w:val="20"/>
              </w:rPr>
              <w:t xml:space="preserve">onságai és szereléstechnikája.  </w:t>
            </w:r>
            <w:r w:rsidRPr="00594DA8">
              <w:rPr>
                <w:sz w:val="20"/>
                <w:szCs w:val="20"/>
              </w:rPr>
              <w:t>Nyomáspróba eszközei.</w:t>
            </w:r>
            <w:r w:rsidR="00440DF1">
              <w:rPr>
                <w:sz w:val="20"/>
                <w:szCs w:val="20"/>
              </w:rPr>
              <w:t xml:space="preserve"> </w:t>
            </w:r>
            <w:r w:rsidRPr="00594DA8">
              <w:rPr>
                <w:sz w:val="20"/>
                <w:szCs w:val="20"/>
              </w:rPr>
              <w:t>Villamos vezérlések alapkapcsolásai (öntartó, kereszt</w:t>
            </w:r>
            <w:r>
              <w:rPr>
                <w:sz w:val="20"/>
                <w:szCs w:val="20"/>
              </w:rPr>
              <w:t xml:space="preserve">reteszelés, logikai áramkörök). </w:t>
            </w:r>
            <w:r w:rsidRPr="00594DA8">
              <w:rPr>
                <w:sz w:val="20"/>
                <w:szCs w:val="20"/>
              </w:rPr>
              <w:t>Áramlástechnikai jellemzők mérése</w:t>
            </w:r>
            <w:r>
              <w:rPr>
                <w:sz w:val="20"/>
                <w:szCs w:val="20"/>
              </w:rPr>
              <w:t xml:space="preserve">: térfogat, idő, nyomás, átmérő. </w:t>
            </w:r>
            <w:r w:rsidRPr="00594DA8">
              <w:rPr>
                <w:sz w:val="20"/>
                <w:szCs w:val="20"/>
              </w:rPr>
              <w:t>Áramlástechnikai jellemzők számítása: sebesség, vízhozam, szállítómagasság, teljesítmény, ha</w:t>
            </w:r>
            <w:r>
              <w:rPr>
                <w:sz w:val="20"/>
                <w:szCs w:val="20"/>
              </w:rPr>
              <w:t xml:space="preserve">tásfok.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0738" w:rsidRPr="00AA2B5E" w:rsidTr="00594DA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E84311" w:rsidP="005B3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50" w:type="dxa"/>
            <w:vAlign w:val="center"/>
          </w:tcPr>
          <w:p w:rsidR="00D60738" w:rsidRDefault="00D60738" w:rsidP="005B3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11675-16</w:t>
            </w:r>
          </w:p>
          <w:p w:rsidR="00D60738" w:rsidRPr="00AE065A" w:rsidRDefault="00D60738" w:rsidP="005B34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Vízrajzi üzemeltető ismeretei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738" w:rsidRPr="005B348A" w:rsidTr="00594DA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5B348A" w:rsidRDefault="00D60738" w:rsidP="005B3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60738" w:rsidRPr="005B348A" w:rsidRDefault="00D60738" w:rsidP="005B34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348A">
              <w:rPr>
                <w:sz w:val="24"/>
                <w:szCs w:val="24"/>
              </w:rPr>
              <w:t>124</w:t>
            </w:r>
          </w:p>
        </w:tc>
        <w:tc>
          <w:tcPr>
            <w:tcW w:w="4750" w:type="dxa"/>
            <w:vAlign w:val="center"/>
          </w:tcPr>
          <w:p w:rsidR="00D60738" w:rsidRPr="005B348A" w:rsidRDefault="00D60738" w:rsidP="005B34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348A">
              <w:rPr>
                <w:sz w:val="24"/>
                <w:szCs w:val="24"/>
              </w:rPr>
              <w:t>Üzemeltetési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5B348A" w:rsidRDefault="00D60738" w:rsidP="005B348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0738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60738" w:rsidRPr="003B6C16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60738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50" w:type="dxa"/>
            <w:vAlign w:val="center"/>
          </w:tcPr>
          <w:p w:rsidR="00D60738" w:rsidRPr="00567BE7" w:rsidRDefault="00C9791E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Hidrometeorológiai adatok gyűjtése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60738" w:rsidRPr="00AA2B5E" w:rsidRDefault="00D60738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Az adatgyűjtés és feldolgozás ágazati műszaki előírásoknak megfelelő szabatos</w:t>
            </w:r>
            <w:r>
              <w:rPr>
                <w:sz w:val="20"/>
                <w:szCs w:val="20"/>
              </w:rPr>
              <w:t xml:space="preserve"> végrehajtása és dokumentálása. </w:t>
            </w:r>
            <w:r w:rsidRPr="00594DA8">
              <w:rPr>
                <w:sz w:val="20"/>
                <w:szCs w:val="20"/>
              </w:rPr>
              <w:t>Csapadékmérés mérőedén</w:t>
            </w:r>
            <w:r>
              <w:rPr>
                <w:sz w:val="20"/>
                <w:szCs w:val="20"/>
              </w:rPr>
              <w:t xml:space="preserve">nyel, digitális regisztrálóval. </w:t>
            </w:r>
            <w:r w:rsidRPr="00594DA8">
              <w:rPr>
                <w:sz w:val="20"/>
                <w:szCs w:val="20"/>
              </w:rPr>
              <w:t>Hótakaró vastagságán</w:t>
            </w:r>
            <w:r>
              <w:rPr>
                <w:sz w:val="20"/>
                <w:szCs w:val="20"/>
              </w:rPr>
              <w:t xml:space="preserve">ak mérése mérőléccel.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A hótakaró vastagságának és vízegyené</w:t>
            </w:r>
            <w:r>
              <w:rPr>
                <w:sz w:val="20"/>
                <w:szCs w:val="20"/>
              </w:rPr>
              <w:t xml:space="preserve">rték mérése mérleges hómérővel. </w:t>
            </w:r>
            <w:r w:rsidRPr="00594DA8">
              <w:rPr>
                <w:sz w:val="20"/>
                <w:szCs w:val="20"/>
              </w:rPr>
              <w:t>Hómérés digitális h</w:t>
            </w:r>
            <w:r>
              <w:rPr>
                <w:sz w:val="20"/>
                <w:szCs w:val="20"/>
              </w:rPr>
              <w:t xml:space="preserve">ó-vízegyenérték regisztrálóval. Párolgásmérés mérőkáddal. </w:t>
            </w:r>
            <w:r w:rsidRPr="00594DA8">
              <w:rPr>
                <w:sz w:val="20"/>
                <w:szCs w:val="20"/>
              </w:rPr>
              <w:t>Légköri és felszínközeli</w:t>
            </w:r>
            <w:r>
              <w:rPr>
                <w:sz w:val="20"/>
                <w:szCs w:val="20"/>
              </w:rPr>
              <w:t xml:space="preserve"> elemek mérése és megfigyelése. </w:t>
            </w:r>
            <w:r w:rsidRPr="00594DA8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791E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50" w:type="dxa"/>
            <w:vAlign w:val="center"/>
          </w:tcPr>
          <w:p w:rsidR="00C9791E" w:rsidRPr="00567BE7" w:rsidRDefault="00C9791E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Vízrajzi adatgyűjtés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791E" w:rsidRPr="00AA2B5E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594DA8" w:rsidRDefault="00594DA8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 xml:space="preserve">Mérőállomások építményeinek tervezési és </w:t>
            </w:r>
            <w:r>
              <w:rPr>
                <w:sz w:val="20"/>
                <w:szCs w:val="20"/>
              </w:rPr>
              <w:t xml:space="preserve">kivitelezési műszaki előírásai. </w:t>
            </w:r>
            <w:r w:rsidRPr="00594DA8">
              <w:rPr>
                <w:sz w:val="20"/>
                <w:szCs w:val="20"/>
              </w:rPr>
              <w:t>Az adatgyűjtés ágazati műszaki előírásoknak megfelelő szabatos</w:t>
            </w:r>
            <w:r>
              <w:rPr>
                <w:sz w:val="20"/>
                <w:szCs w:val="20"/>
              </w:rPr>
              <w:t xml:space="preserve"> végrehajtása és dokumentálása. Felszíni vizek. </w:t>
            </w:r>
            <w:r w:rsidRPr="00594DA8">
              <w:rPr>
                <w:sz w:val="20"/>
                <w:szCs w:val="20"/>
              </w:rPr>
              <w:t>Felszíni vizek vízá</w:t>
            </w:r>
            <w:r>
              <w:rPr>
                <w:sz w:val="20"/>
                <w:szCs w:val="20"/>
              </w:rPr>
              <w:t xml:space="preserve">llásának mérése lapvízmércével. </w:t>
            </w:r>
            <w:r w:rsidRPr="00594DA8">
              <w:rPr>
                <w:sz w:val="20"/>
                <w:szCs w:val="20"/>
              </w:rPr>
              <w:t>Felszíni vizek vízállásának mérése d</w:t>
            </w:r>
            <w:r>
              <w:rPr>
                <w:sz w:val="20"/>
                <w:szCs w:val="20"/>
              </w:rPr>
              <w:t xml:space="preserve">igitális regisztráló műszerrel. </w:t>
            </w:r>
            <w:r w:rsidRPr="00594DA8">
              <w:rPr>
                <w:sz w:val="20"/>
                <w:szCs w:val="20"/>
              </w:rPr>
              <w:t>Gyakoriság-tar</w:t>
            </w:r>
            <w:r>
              <w:rPr>
                <w:sz w:val="20"/>
                <w:szCs w:val="20"/>
              </w:rPr>
              <w:t xml:space="preserve">tósság számítása és ábrázolása. </w:t>
            </w:r>
            <w:r w:rsidRPr="00594DA8">
              <w:rPr>
                <w:sz w:val="20"/>
                <w:szCs w:val="20"/>
              </w:rPr>
              <w:t>Zsiliptábla állás mérése táblaállás mérővel és digitális táblaállás-regisztrálóval.</w:t>
            </w:r>
            <w:r w:rsidR="00A542ED" w:rsidRPr="00A542ED">
              <w:rPr>
                <w:sz w:val="20"/>
                <w:szCs w:val="20"/>
              </w:rPr>
              <w:t xml:space="preserve"> Munka-, tűz és balesetvédelmi előírások betartása.</w:t>
            </w:r>
          </w:p>
        </w:tc>
        <w:tc>
          <w:tcPr>
            <w:tcW w:w="844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594DA8" w:rsidP="00440DF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594DA8">
              <w:rPr>
                <w:sz w:val="20"/>
                <w:szCs w:val="20"/>
              </w:rPr>
              <w:t>Felszíni vizek</w:t>
            </w:r>
            <w:r>
              <w:rPr>
                <w:sz w:val="20"/>
                <w:szCs w:val="20"/>
              </w:rPr>
              <w:t xml:space="preserve"> jégjelenségeinek megfigyelése. </w:t>
            </w:r>
            <w:r w:rsidRPr="00594DA8">
              <w:rPr>
                <w:sz w:val="20"/>
                <w:szCs w:val="20"/>
              </w:rPr>
              <w:t>Felszíni vizek</w:t>
            </w:r>
            <w:r>
              <w:rPr>
                <w:sz w:val="20"/>
                <w:szCs w:val="20"/>
              </w:rPr>
              <w:t xml:space="preserve"> jégvastagságának megfigyelése. </w:t>
            </w:r>
            <w:r w:rsidRPr="00594DA8">
              <w:rPr>
                <w:sz w:val="20"/>
                <w:szCs w:val="20"/>
              </w:rPr>
              <w:t>Felszíni vizek vízhőmérsékletének mérése merítőedényes hőmérővel, digitális hőmér</w:t>
            </w:r>
            <w:r>
              <w:rPr>
                <w:sz w:val="20"/>
                <w:szCs w:val="20"/>
              </w:rPr>
              <w:t xml:space="preserve">ővel, digitális regisztrálóval. </w:t>
            </w:r>
            <w:r w:rsidRPr="00594DA8">
              <w:rPr>
                <w:sz w:val="20"/>
                <w:szCs w:val="20"/>
              </w:rPr>
              <w:t>Vízsebesség mérések: forgószárnyas vízsebesség m</w:t>
            </w:r>
            <w:r>
              <w:rPr>
                <w:sz w:val="20"/>
                <w:szCs w:val="20"/>
              </w:rPr>
              <w:t xml:space="preserve">érők, egyéb vízsebesség mérések. </w:t>
            </w:r>
            <w:r w:rsidRPr="00594DA8">
              <w:rPr>
                <w:sz w:val="20"/>
                <w:szCs w:val="20"/>
              </w:rPr>
              <w:t>Felszíni vizek vízhozamának mérése köböző edénnyel, mérőlappal, jelzőanyaggal, úszóval, sebesség-terület módszerrel, ADCP berendezéss</w:t>
            </w:r>
            <w:r>
              <w:rPr>
                <w:sz w:val="20"/>
                <w:szCs w:val="20"/>
              </w:rPr>
              <w:t xml:space="preserve">el, ultrahangos regisztrálóval. </w:t>
            </w:r>
            <w:r w:rsidRPr="00594DA8">
              <w:rPr>
                <w:sz w:val="20"/>
                <w:szCs w:val="20"/>
              </w:rPr>
              <w:t>Felszín alatti vizek.</w:t>
            </w:r>
            <w:r w:rsidR="00A542ED" w:rsidRPr="00A542ED">
              <w:rPr>
                <w:sz w:val="20"/>
                <w:szCs w:val="20"/>
              </w:rPr>
              <w:t xml:space="preserve"> 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A542ED" w:rsidP="00440DF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542ED">
              <w:rPr>
                <w:sz w:val="20"/>
                <w:szCs w:val="20"/>
              </w:rPr>
              <w:t>Kutak vízállásának mérése mérősíppal, elektromos vízszintérzékelővel, dig</w:t>
            </w:r>
            <w:r>
              <w:rPr>
                <w:sz w:val="20"/>
                <w:szCs w:val="20"/>
              </w:rPr>
              <w:t xml:space="preserve">itális vízállás-regisztrálóval. </w:t>
            </w:r>
            <w:r w:rsidRPr="00A542ED">
              <w:rPr>
                <w:sz w:val="20"/>
                <w:szCs w:val="20"/>
              </w:rPr>
              <w:t>Kútfejnyomás mérése nyomásmérővel, digitális regisztrálóva</w:t>
            </w:r>
            <w:r>
              <w:rPr>
                <w:sz w:val="20"/>
                <w:szCs w:val="20"/>
              </w:rPr>
              <w:t xml:space="preserve">l. </w:t>
            </w:r>
            <w:r w:rsidRPr="00A542ED">
              <w:rPr>
                <w:sz w:val="20"/>
                <w:szCs w:val="20"/>
              </w:rPr>
              <w:t>Kutak vízhőmérsékletének mérése merítőedényes hőmérővel, digitális hőmérővel vagy regisztrálóval.</w:t>
            </w:r>
            <w:r w:rsidR="00B13675">
              <w:rPr>
                <w:sz w:val="20"/>
                <w:szCs w:val="20"/>
              </w:rPr>
              <w:t xml:space="preserve"> </w:t>
            </w:r>
            <w:r w:rsidRPr="00A542ED">
              <w:rPr>
                <w:sz w:val="20"/>
                <w:szCs w:val="20"/>
              </w:rPr>
              <w:t>Vízminőségi adatgyűjtés: ágazati műszaki előírásoknak megfelelő szabatos végrehajtása és dokumentálása. 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A542ED" w:rsidP="00440DF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542ED">
              <w:rPr>
                <w:sz w:val="20"/>
                <w:szCs w:val="20"/>
              </w:rPr>
              <w:t>Hidromorfológiai mérések és mintavétele</w:t>
            </w:r>
            <w:r>
              <w:rPr>
                <w:sz w:val="20"/>
                <w:szCs w:val="20"/>
              </w:rPr>
              <w:t xml:space="preserve">k végrehajtása. </w:t>
            </w:r>
            <w:r w:rsidRPr="00A542ED">
              <w:rPr>
                <w:sz w:val="20"/>
                <w:szCs w:val="20"/>
              </w:rPr>
              <w:t>A mérések és mintavételek ágazati műszaki előírásoknak megfelelő szabatos</w:t>
            </w:r>
            <w:r>
              <w:rPr>
                <w:sz w:val="20"/>
                <w:szCs w:val="20"/>
              </w:rPr>
              <w:t xml:space="preserve"> végrehajtása és dokumentálása. </w:t>
            </w:r>
            <w:r w:rsidRPr="00A542ED">
              <w:rPr>
                <w:sz w:val="20"/>
                <w:szCs w:val="20"/>
              </w:rPr>
              <w:t>Felszíni vizek lebegtetett hordalékának mérése palackos vízmintavevőv</w:t>
            </w:r>
            <w:r>
              <w:rPr>
                <w:sz w:val="20"/>
                <w:szCs w:val="20"/>
              </w:rPr>
              <w:t xml:space="preserve">el, szivattyús vízmintavevővel. </w:t>
            </w:r>
            <w:r w:rsidRPr="00A542ED">
              <w:rPr>
                <w:sz w:val="20"/>
                <w:szCs w:val="20"/>
              </w:rPr>
              <w:t>Görgetett hordalék mérése. 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594DA8" w:rsidRDefault="00A542ED" w:rsidP="00440DF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542ED">
              <w:rPr>
                <w:sz w:val="20"/>
                <w:szCs w:val="20"/>
              </w:rPr>
              <w:t>Lebegtetett hordalé</w:t>
            </w:r>
            <w:r>
              <w:rPr>
                <w:sz w:val="20"/>
                <w:szCs w:val="20"/>
              </w:rPr>
              <w:t xml:space="preserve">kminták laboratóriumi elemzése. </w:t>
            </w:r>
            <w:r w:rsidRPr="00A542ED">
              <w:rPr>
                <w:sz w:val="20"/>
                <w:szCs w:val="20"/>
              </w:rPr>
              <w:t>Görgetett hordalék és mederanyag</w:t>
            </w:r>
            <w:r>
              <w:rPr>
                <w:sz w:val="20"/>
                <w:szCs w:val="20"/>
              </w:rPr>
              <w:t xml:space="preserve">-minták laboratóriumi elemzése. </w:t>
            </w:r>
            <w:r w:rsidRPr="00A542ED">
              <w:rPr>
                <w:sz w:val="20"/>
                <w:szCs w:val="20"/>
              </w:rPr>
              <w:t>Mederanyag mintavétel fagy</w:t>
            </w:r>
            <w:r>
              <w:rPr>
                <w:sz w:val="20"/>
                <w:szCs w:val="20"/>
              </w:rPr>
              <w:t xml:space="preserve">asztással, </w:t>
            </w:r>
            <w:r>
              <w:rPr>
                <w:sz w:val="20"/>
                <w:szCs w:val="20"/>
              </w:rPr>
              <w:lastRenderedPageBreak/>
              <w:t xml:space="preserve">mintavevő haranggal. </w:t>
            </w:r>
            <w:r w:rsidRPr="00A542ED">
              <w:rPr>
                <w:sz w:val="20"/>
                <w:szCs w:val="20"/>
              </w:rPr>
              <w:t>Keresztszelvény-felvétel kisvízfolyásokon és folyókon. Munka-, tűz és balesetvédelmi előírások betartása.</w:t>
            </w:r>
          </w:p>
        </w:tc>
        <w:tc>
          <w:tcPr>
            <w:tcW w:w="844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D65667" w:rsidRPr="00594DA8" w:rsidRDefault="00A542ED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42ED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ízszintrögzítések végrehajtása. </w:t>
            </w:r>
            <w:r w:rsidRPr="00A542ED">
              <w:rPr>
                <w:sz w:val="20"/>
                <w:szCs w:val="20"/>
              </w:rPr>
              <w:t>Számítógé</w:t>
            </w:r>
            <w:r>
              <w:rPr>
                <w:sz w:val="20"/>
                <w:szCs w:val="20"/>
              </w:rPr>
              <w:t xml:space="preserve">ppel történő adatfeldolgozások. </w:t>
            </w:r>
            <w:r w:rsidRPr="00A542ED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791E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C9791E" w:rsidRPr="00567BE7" w:rsidRDefault="00C9791E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Vízrajzi hálózat üzemeltetése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791E" w:rsidRPr="00AA2B5E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Vízrajzi építmények karbantartása (az egyes állomástípusok jellemző karbantartási feladatai, állapotfelvételek és karbantartási ütemtervek).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Beépített és kézi mérőeszközök kezelése (karbant</w:t>
            </w:r>
            <w:r>
              <w:rPr>
                <w:sz w:val="20"/>
                <w:szCs w:val="20"/>
              </w:rPr>
              <w:t xml:space="preserve">artás, kalibrálás, javíttatás). </w:t>
            </w:r>
            <w:r w:rsidRPr="00ED4126">
              <w:rPr>
                <w:sz w:val="20"/>
                <w:szCs w:val="20"/>
              </w:rPr>
              <w:t xml:space="preserve">Vízrajzi állomások és mérőeszközök nyilvántartásai (ágazati </w:t>
            </w:r>
            <w:r>
              <w:rPr>
                <w:sz w:val="20"/>
                <w:szCs w:val="20"/>
              </w:rPr>
              <w:t xml:space="preserve">adatbázisok, állomásjegyzékek). </w:t>
            </w:r>
            <w:r w:rsidRPr="00ED4126">
              <w:rPr>
                <w:sz w:val="20"/>
                <w:szCs w:val="20"/>
              </w:rPr>
              <w:t>Vízrajzi állomások magassági helyzetének rendszeres geodéziai ellenőrzése (őrpontok és vízmércék magassági bemérése, javítófüggvények készítése és alkalmazása).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Távmérő rendszerek üzemeltetése (rendszeres ellenőrzési feladatok, paraméterezések, karbantartási feladatok, hibafeltárás, hatósági vizsgálatok és engedélyeztetés, adatkommun</w:t>
            </w:r>
            <w:r>
              <w:rPr>
                <w:sz w:val="20"/>
                <w:szCs w:val="20"/>
              </w:rPr>
              <w:t xml:space="preserve">ikációs eszközök üzemeltetése). </w:t>
            </w:r>
            <w:r w:rsidRPr="00ED4126">
              <w:rPr>
                <w:sz w:val="20"/>
                <w:szCs w:val="20"/>
              </w:rPr>
              <w:t>Az adatgyűjtés szervezése és ellenőrzése (észlelői és t</w:t>
            </w:r>
            <w:r>
              <w:rPr>
                <w:sz w:val="20"/>
                <w:szCs w:val="20"/>
              </w:rPr>
              <w:t xml:space="preserve">erületi irányítói járástervek). </w:t>
            </w:r>
            <w:r w:rsidRPr="00ED4126">
              <w:rPr>
                <w:sz w:val="20"/>
                <w:szCs w:val="20"/>
              </w:rPr>
              <w:t>Az üzemeltetés és</w:t>
            </w:r>
            <w:r>
              <w:rPr>
                <w:sz w:val="20"/>
                <w:szCs w:val="20"/>
              </w:rPr>
              <w:t xml:space="preserve"> karbantartás költségtervezése. </w:t>
            </w:r>
            <w:r w:rsidRPr="00ED4126">
              <w:rPr>
                <w:sz w:val="20"/>
                <w:szCs w:val="20"/>
              </w:rPr>
              <w:t>A vízkárelhárítási tevékenység vízrajzi vonatkoz</w:t>
            </w:r>
            <w:r>
              <w:rPr>
                <w:sz w:val="20"/>
                <w:szCs w:val="20"/>
              </w:rPr>
              <w:t xml:space="preserve">ású előírásai és gyakorlata. </w:t>
            </w:r>
            <w:r w:rsidRPr="00ED4126">
              <w:rPr>
                <w:sz w:val="20"/>
                <w:szCs w:val="20"/>
              </w:rPr>
              <w:t>Vízrajzi informatikai és térinformatikai ismeretek.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021F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Az adatok tárolása (adattár</w:t>
            </w:r>
            <w:r>
              <w:rPr>
                <w:sz w:val="20"/>
                <w:szCs w:val="20"/>
              </w:rPr>
              <w:t xml:space="preserve">ak üzemeltetése, archiválások). </w:t>
            </w:r>
            <w:r w:rsidRPr="00ED4126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 xml:space="preserve">zai és nemzetközi adatforgalom. </w:t>
            </w:r>
            <w:r w:rsidRPr="00ED4126">
              <w:rPr>
                <w:sz w:val="20"/>
                <w:szCs w:val="20"/>
              </w:rPr>
              <w:t>Az adatok szolgáltatása (külső megrendelésre végzett adatszolgáltat</w:t>
            </w:r>
            <w:r>
              <w:rPr>
                <w:sz w:val="20"/>
                <w:szCs w:val="20"/>
              </w:rPr>
              <w:t xml:space="preserve">ások eljárása). </w:t>
            </w:r>
            <w:r w:rsidRPr="00ED4126">
              <w:rPr>
                <w:sz w:val="20"/>
                <w:szCs w:val="20"/>
              </w:rPr>
              <w:t>Az ad</w:t>
            </w:r>
            <w:r>
              <w:rPr>
                <w:sz w:val="20"/>
                <w:szCs w:val="20"/>
              </w:rPr>
              <w:t xml:space="preserve">atok </w:t>
            </w:r>
            <w:r w:rsidR="00021F6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nternetes közreadása, PR. </w:t>
            </w:r>
            <w:r w:rsidRPr="00ED4126">
              <w:rPr>
                <w:sz w:val="20"/>
                <w:szCs w:val="20"/>
              </w:rPr>
              <w:t>Minőségirányítási és oktatási feladatok.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Munka- és tűzvédelmi ismeretek. Beszerzések bonyolítása. </w:t>
            </w:r>
            <w:r w:rsidRPr="00ED4126">
              <w:rPr>
                <w:sz w:val="20"/>
                <w:szCs w:val="20"/>
              </w:rPr>
              <w:t>Műszak</w:t>
            </w:r>
            <w:r>
              <w:rPr>
                <w:sz w:val="20"/>
                <w:szCs w:val="20"/>
              </w:rPr>
              <w:t xml:space="preserve">i ellenőrzés és átadás-átvétel. </w:t>
            </w:r>
            <w:r w:rsidRPr="00ED4126">
              <w:rPr>
                <w:sz w:val="20"/>
                <w:szCs w:val="20"/>
              </w:rPr>
              <w:t>Raktározás és vagyonnyilvántartás.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791E" w:rsidRPr="00AA2B5E" w:rsidTr="00594DA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791E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C9791E" w:rsidRPr="00567BE7" w:rsidRDefault="00C9791E" w:rsidP="005B348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Geodéziai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791E" w:rsidRPr="00AA2B5E" w:rsidRDefault="00C9791E" w:rsidP="005B34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Vízszintes pontmeghatározás: derékszögű koordinátamérés, poláris koordinátamérés, szögek és távolságok mérése.</w:t>
            </w:r>
            <w:r w:rsidR="00021F69">
              <w:rPr>
                <w:sz w:val="20"/>
                <w:szCs w:val="20"/>
              </w:rPr>
              <w:t xml:space="preserve"> </w:t>
            </w:r>
            <w:r w:rsidRPr="00ED4126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iránymérés elve és eszközei. </w:t>
            </w:r>
            <w:r w:rsidRPr="00ED4126">
              <w:rPr>
                <w:sz w:val="20"/>
                <w:szCs w:val="20"/>
              </w:rPr>
              <w:t>Távolságok mérése, geome</w:t>
            </w:r>
            <w:r>
              <w:rPr>
                <w:sz w:val="20"/>
                <w:szCs w:val="20"/>
              </w:rPr>
              <w:t xml:space="preserve">triai és fizikai távolságmérés. </w:t>
            </w:r>
            <w:r w:rsidRPr="00ED4126">
              <w:rPr>
                <w:sz w:val="20"/>
                <w:szCs w:val="20"/>
              </w:rPr>
              <w:t>Pontok magassági értelmű helymeghatározásának elve és módjai, a pont abszolút és relatív magassága. Munka-, tűz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>Magasságmérés</w:t>
            </w:r>
            <w:r>
              <w:rPr>
                <w:sz w:val="20"/>
                <w:szCs w:val="20"/>
              </w:rPr>
              <w:t xml:space="preserve">: a szintezés elve és eszközei. </w:t>
            </w:r>
            <w:r w:rsidRPr="00ED4126"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 xml:space="preserve">nalszintezés, területszintezés. </w:t>
            </w:r>
            <w:r w:rsidRPr="00ED4126">
              <w:rPr>
                <w:sz w:val="20"/>
                <w:szCs w:val="20"/>
              </w:rPr>
              <w:t>Geodéziai GPS alkalmazásának elméleti alapjai és gyakorlata. Munka-, tűz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ED4126" w:rsidRDefault="00ED4126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Keresztszelvény-felvételek. </w:t>
            </w:r>
            <w:r w:rsidRPr="00ED4126">
              <w:rPr>
                <w:sz w:val="20"/>
                <w:szCs w:val="20"/>
              </w:rPr>
              <w:t>Műtárgyak jellemző</w:t>
            </w:r>
            <w:r>
              <w:rPr>
                <w:sz w:val="20"/>
                <w:szCs w:val="20"/>
              </w:rPr>
              <w:t xml:space="preserve"> pontjainak geodéziai bemérése. </w:t>
            </w:r>
            <w:r w:rsidRPr="00ED4126">
              <w:rPr>
                <w:sz w:val="20"/>
                <w:szCs w:val="20"/>
              </w:rPr>
              <w:t>Elkészült építmény</w:t>
            </w:r>
            <w:r>
              <w:rPr>
                <w:sz w:val="20"/>
                <w:szCs w:val="20"/>
              </w:rPr>
              <w:t xml:space="preserve">ek, műtárgyak állapotfelvétele. </w:t>
            </w:r>
            <w:r w:rsidRPr="00ED4126">
              <w:rPr>
                <w:sz w:val="20"/>
                <w:szCs w:val="20"/>
              </w:rPr>
              <w:t>Munka-, tűz</w:t>
            </w:r>
            <w:bookmarkStart w:id="0" w:name="_GoBack"/>
            <w:bookmarkEnd w:id="0"/>
            <w:r w:rsidRPr="00ED4126">
              <w:rPr>
                <w:sz w:val="20"/>
                <w:szCs w:val="20"/>
              </w:rPr>
              <w:t xml:space="preserve">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9791E" w:rsidP="005B34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D65667" w:rsidRPr="00ED4126" w:rsidRDefault="00E84311" w:rsidP="005B34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4126">
              <w:rPr>
                <w:sz w:val="20"/>
                <w:szCs w:val="20"/>
              </w:rPr>
              <w:t xml:space="preserve">Legkorszerűbb számítástechnika/ informatika alkalmazása a feldolgozásban. </w:t>
            </w:r>
            <w:r w:rsidR="00ED4126" w:rsidRPr="00ED4126">
              <w:rPr>
                <w:sz w:val="20"/>
                <w:szCs w:val="20"/>
              </w:rPr>
              <w:t>Munka-, tűz és balesetvédelmi előírások betartása.</w:t>
            </w:r>
          </w:p>
        </w:tc>
        <w:tc>
          <w:tcPr>
            <w:tcW w:w="844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5B34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92DD9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69" w:rsidRDefault="00383E69" w:rsidP="00B2485D">
      <w:r>
        <w:separator/>
      </w:r>
    </w:p>
  </w:endnote>
  <w:endnote w:type="continuationSeparator" w:id="1">
    <w:p w:rsidR="00383E69" w:rsidRDefault="00383E6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092DD9" w:rsidRDefault="00762392">
        <w:pPr>
          <w:pStyle w:val="llb"/>
          <w:jc w:val="center"/>
        </w:pPr>
        <w:fldSimple w:instr="PAGE   \* MERGEFORMAT">
          <w:r w:rsidR="00B13675">
            <w:rPr>
              <w:noProof/>
            </w:rPr>
            <w:t>8</w:t>
          </w:r>
        </w:fldSimple>
      </w:p>
      <w:p w:rsidR="00092DD9" w:rsidRDefault="00092DD9" w:rsidP="00840500">
        <w:pPr>
          <w:pStyle w:val="llb"/>
          <w:jc w:val="center"/>
        </w:pPr>
        <w:r>
          <w:t>5485302.14evf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69" w:rsidRDefault="00383E69" w:rsidP="00B2485D">
      <w:r>
        <w:separator/>
      </w:r>
    </w:p>
  </w:footnote>
  <w:footnote w:type="continuationSeparator" w:id="1">
    <w:p w:rsidR="00383E69" w:rsidRDefault="00383E6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D9" w:rsidRPr="00340762" w:rsidRDefault="00092DD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3F29"/>
    <w:rsid w:val="00021F69"/>
    <w:rsid w:val="00061263"/>
    <w:rsid w:val="00090A1B"/>
    <w:rsid w:val="00092DD9"/>
    <w:rsid w:val="000A46D8"/>
    <w:rsid w:val="000B045E"/>
    <w:rsid w:val="000B3E0B"/>
    <w:rsid w:val="000B579E"/>
    <w:rsid w:val="001411B8"/>
    <w:rsid w:val="00164A00"/>
    <w:rsid w:val="00183A93"/>
    <w:rsid w:val="001A6CBA"/>
    <w:rsid w:val="001B188A"/>
    <w:rsid w:val="00244A5C"/>
    <w:rsid w:val="00264B0B"/>
    <w:rsid w:val="00285295"/>
    <w:rsid w:val="002B6D9D"/>
    <w:rsid w:val="002D22E1"/>
    <w:rsid w:val="002E6AD5"/>
    <w:rsid w:val="00330B7C"/>
    <w:rsid w:val="00340762"/>
    <w:rsid w:val="0035197E"/>
    <w:rsid w:val="00383E69"/>
    <w:rsid w:val="003A3CDC"/>
    <w:rsid w:val="003B6C16"/>
    <w:rsid w:val="003F3D20"/>
    <w:rsid w:val="00416454"/>
    <w:rsid w:val="00424FB3"/>
    <w:rsid w:val="00440DF1"/>
    <w:rsid w:val="004C7770"/>
    <w:rsid w:val="004D595C"/>
    <w:rsid w:val="004F3AF4"/>
    <w:rsid w:val="00512211"/>
    <w:rsid w:val="00567BE7"/>
    <w:rsid w:val="00574CE8"/>
    <w:rsid w:val="00594DA8"/>
    <w:rsid w:val="005B348A"/>
    <w:rsid w:val="005F1E25"/>
    <w:rsid w:val="006C591C"/>
    <w:rsid w:val="00703883"/>
    <w:rsid w:val="00731B17"/>
    <w:rsid w:val="00762392"/>
    <w:rsid w:val="00793335"/>
    <w:rsid w:val="007B3615"/>
    <w:rsid w:val="007D195F"/>
    <w:rsid w:val="007E05E3"/>
    <w:rsid w:val="00813A53"/>
    <w:rsid w:val="00840500"/>
    <w:rsid w:val="008621EF"/>
    <w:rsid w:val="008C0910"/>
    <w:rsid w:val="008F034E"/>
    <w:rsid w:val="008F0F65"/>
    <w:rsid w:val="008F4B8B"/>
    <w:rsid w:val="00971AB4"/>
    <w:rsid w:val="009E2592"/>
    <w:rsid w:val="009F0791"/>
    <w:rsid w:val="00A01020"/>
    <w:rsid w:val="00A542ED"/>
    <w:rsid w:val="00A87D59"/>
    <w:rsid w:val="00AA2B5E"/>
    <w:rsid w:val="00AB22E3"/>
    <w:rsid w:val="00AE065A"/>
    <w:rsid w:val="00B03D8D"/>
    <w:rsid w:val="00B13675"/>
    <w:rsid w:val="00B2485D"/>
    <w:rsid w:val="00B3216B"/>
    <w:rsid w:val="00B543A3"/>
    <w:rsid w:val="00BF7A62"/>
    <w:rsid w:val="00C6286A"/>
    <w:rsid w:val="00C9791E"/>
    <w:rsid w:val="00CA663C"/>
    <w:rsid w:val="00CD5B57"/>
    <w:rsid w:val="00D07254"/>
    <w:rsid w:val="00D11A9D"/>
    <w:rsid w:val="00D60738"/>
    <w:rsid w:val="00D65667"/>
    <w:rsid w:val="00D93ACD"/>
    <w:rsid w:val="00DC4068"/>
    <w:rsid w:val="00DD7EBB"/>
    <w:rsid w:val="00DE6760"/>
    <w:rsid w:val="00DE6BB2"/>
    <w:rsid w:val="00E523F9"/>
    <w:rsid w:val="00E84311"/>
    <w:rsid w:val="00ED4126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04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B045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B045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045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B045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B045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B04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B04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B04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B045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B045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11240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2017-10-13T20:26:00Z</dcterms:created>
  <dcterms:modified xsi:type="dcterms:W3CDTF">2017-10-13T20:26:00Z</dcterms:modified>
</cp:coreProperties>
</file>