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A2AB0" w:rsidRDefault="006A2AB0" w:rsidP="006A2AB0">
      <w:pPr>
        <w:pStyle w:val="lfej"/>
        <w:jc w:val="center"/>
        <w:rPr>
          <w:b/>
          <w:sz w:val="40"/>
          <w:szCs w:val="40"/>
        </w:rPr>
      </w:pPr>
      <w:r w:rsidRPr="0024104B">
        <w:rPr>
          <w:b/>
          <w:sz w:val="40"/>
          <w:szCs w:val="40"/>
        </w:rPr>
        <w:t>Légi közlekedésüzemvitel-ellátó</w:t>
      </w:r>
      <w:r>
        <w:rPr>
          <w:b/>
          <w:sz w:val="40"/>
          <w:szCs w:val="40"/>
        </w:rPr>
        <w:t xml:space="preserve"> </w:t>
      </w:r>
    </w:p>
    <w:p w:rsidR="006A2AB0" w:rsidRPr="0024104B" w:rsidRDefault="006A2AB0" w:rsidP="006A2AB0">
      <w:pPr>
        <w:pStyle w:val="lfej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6A2AB0" w:rsidRDefault="006A2AB0" w:rsidP="006A2AB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6A2AB0" w:rsidRPr="00051A7A" w:rsidRDefault="006A2AB0" w:rsidP="006A2AB0">
      <w:pPr>
        <w:pStyle w:val="lfej"/>
        <w:jc w:val="center"/>
        <w:rPr>
          <w:sz w:val="28"/>
          <w:szCs w:val="28"/>
        </w:rPr>
      </w:pPr>
      <w:r w:rsidRPr="00051A7A">
        <w:rPr>
          <w:sz w:val="28"/>
          <w:szCs w:val="28"/>
        </w:rPr>
        <w:t>(OKJ száma: 54 841 03)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D54E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D54E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D54E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D54E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D54E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D54E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D54E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D54E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45E7F" w:rsidRDefault="00512211" w:rsidP="00D45E7F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2AB0" w:rsidRPr="006A2AB0" w:rsidTr="006423E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A2AB0" w:rsidRPr="006A2AB0" w:rsidRDefault="006A2AB0" w:rsidP="006423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6A2AB0" w:rsidRPr="006A2AB0" w:rsidRDefault="006A2AB0" w:rsidP="006423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2AB0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4748" w:type="dxa"/>
            <w:vAlign w:val="center"/>
          </w:tcPr>
          <w:p w:rsidR="006A2AB0" w:rsidRPr="006A2AB0" w:rsidRDefault="00D45E7F" w:rsidP="006A2AB0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10498-16</w:t>
            </w:r>
          </w:p>
          <w:p w:rsidR="006A2AB0" w:rsidRPr="006A2AB0" w:rsidRDefault="006A2AB0" w:rsidP="006A2A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2AB0">
              <w:rPr>
                <w:rFonts w:eastAsia="Times New Roman"/>
                <w:b/>
                <w:color w:val="000000"/>
                <w:sz w:val="28"/>
                <w:szCs w:val="28"/>
              </w:rPr>
              <w:t>Légiszállítási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A2AB0" w:rsidRPr="006A2AB0" w:rsidRDefault="006A2AB0" w:rsidP="006423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6A2AB0" w:rsidTr="006423E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6A2AB0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6A2AB0" w:rsidRDefault="005C63E9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AB0">
              <w:rPr>
                <w:sz w:val="24"/>
                <w:szCs w:val="24"/>
              </w:rPr>
              <w:t>341</w:t>
            </w:r>
          </w:p>
        </w:tc>
        <w:tc>
          <w:tcPr>
            <w:tcW w:w="4748" w:type="dxa"/>
            <w:vAlign w:val="center"/>
          </w:tcPr>
          <w:p w:rsidR="003F3D20" w:rsidRPr="006A2AB0" w:rsidRDefault="005C63E9" w:rsidP="005C6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2AB0">
              <w:rPr>
                <w:rFonts w:eastAsia="Times New Roman"/>
                <w:bCs/>
                <w:color w:val="000000"/>
                <w:sz w:val="24"/>
                <w:szCs w:val="24"/>
              </w:rPr>
              <w:t>Légiközlekedési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6A2AB0" w:rsidRDefault="003F3D20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6A2AB0" w:rsidTr="006423E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6A2AB0" w:rsidRDefault="00D93ACD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93ACD" w:rsidRPr="006A2AB0" w:rsidRDefault="005C63E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68</w:t>
            </w:r>
          </w:p>
        </w:tc>
        <w:tc>
          <w:tcPr>
            <w:tcW w:w="4748" w:type="dxa"/>
            <w:vAlign w:val="center"/>
          </w:tcPr>
          <w:p w:rsidR="00D93ACD" w:rsidRPr="006A2AB0" w:rsidRDefault="005C63E9" w:rsidP="005C63E9">
            <w:pPr>
              <w:spacing w:line="276" w:lineRule="auto"/>
              <w:jc w:val="center"/>
              <w:rPr>
                <w:sz w:val="20"/>
              </w:rPr>
            </w:pPr>
            <w:r w:rsidRPr="006A2AB0">
              <w:rPr>
                <w:rFonts w:eastAsia="Times New Roman"/>
                <w:color w:val="000000"/>
                <w:sz w:val="20"/>
                <w:szCs w:val="18"/>
              </w:rPr>
              <w:t>Légi fuvarozási ismeretek a gyakorlatban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6A2AB0" w:rsidRDefault="00D93ACD" w:rsidP="0073358D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Okmányos feltételek. Fizikai áruátvétel.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Csomagolási követelmények. Légi fuvarozási szerződés.</w:t>
            </w:r>
          </w:p>
        </w:tc>
        <w:tc>
          <w:tcPr>
            <w:tcW w:w="845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A légi fuvarlevél adatállománya. A tarifarendszer és tarifálás.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Helyfoglalás követelményei. Prioritási lista.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Raktározás. Betárolási ismeretek.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Kiértesítési műveletek. Veszélyes áruk.</w:t>
            </w:r>
          </w:p>
        </w:tc>
        <w:tc>
          <w:tcPr>
            <w:tcW w:w="845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Különleges kezelést igénylő áruk. Egységrakomány.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Kombinált fuvarozás. Számítástechnikai rendszerek használata.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725C6" w:rsidRPr="00C172B3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C172B3">
              <w:rPr>
                <w:sz w:val="20"/>
              </w:rPr>
              <w:t>Kommunikációs rendszerek megismerése a gyakorlatban</w:t>
            </w:r>
            <w:r w:rsidR="008B656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5C63E9" w:rsidRPr="006A2AB0" w:rsidTr="006423E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C63E9" w:rsidRPr="006A2AB0" w:rsidRDefault="005C63E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C63E9" w:rsidRPr="006A2AB0" w:rsidRDefault="005C63E9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68</w:t>
            </w:r>
          </w:p>
        </w:tc>
        <w:tc>
          <w:tcPr>
            <w:tcW w:w="4748" w:type="dxa"/>
            <w:vAlign w:val="center"/>
          </w:tcPr>
          <w:p w:rsidR="005C63E9" w:rsidRPr="006A2AB0" w:rsidRDefault="005C63E9" w:rsidP="005C63E9">
            <w:pPr>
              <w:spacing w:line="276" w:lineRule="auto"/>
              <w:jc w:val="center"/>
              <w:rPr>
                <w:sz w:val="20"/>
              </w:rPr>
            </w:pPr>
            <w:r w:rsidRPr="006A2AB0">
              <w:rPr>
                <w:rFonts w:eastAsia="Times New Roman"/>
                <w:color w:val="000000"/>
                <w:sz w:val="20"/>
                <w:szCs w:val="18"/>
              </w:rPr>
              <w:t>Légiközlekedési és forgalmi ismeretek a gyakorlatban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C63E9" w:rsidRPr="006A2AB0" w:rsidRDefault="005C63E9" w:rsidP="0073358D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rPr>
                <w:sz w:val="20"/>
              </w:rPr>
            </w:pPr>
            <w:r w:rsidRPr="001A0E2A">
              <w:rPr>
                <w:sz w:val="20"/>
              </w:rPr>
              <w:t>Repüléselmélet.</w:t>
            </w:r>
            <w:r w:rsidR="00A82224">
              <w:rPr>
                <w:sz w:val="20"/>
              </w:rPr>
              <w:t xml:space="preserve"> </w:t>
            </w:r>
            <w:r w:rsidRPr="001A0E2A">
              <w:rPr>
                <w:sz w:val="20"/>
              </w:rPr>
              <w:t>Sárkány, sárkányrendszerek, hajtómű. Repülőgép típusok.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1871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Légitársaságok által üzemeltetett jellemző gázturbinás repülőgépek.</w:t>
            </w:r>
            <w:r w:rsidR="006423EC">
              <w:rPr>
                <w:sz w:val="20"/>
              </w:rPr>
              <w:t xml:space="preserve"> </w:t>
            </w:r>
            <w:r w:rsidRPr="001A0E2A">
              <w:rPr>
                <w:sz w:val="20"/>
              </w:rPr>
              <w:t>Légitársaságok által üzemeltetett jellemző légcsavaros gázturbinás repülőgépek. Egyéb légitársaságok által üzemeltetett jellemző repülőgépek. Légitársaság szervezeti felépítés. Légitársaság nemzetközi kereskedelmi kapcsolatrendszere, kereskedelempolitikája.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725C6">
        <w:trPr>
          <w:trHeight w:hRule="exact" w:val="1362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Két- és többoldalú kereskedelmi szerződések. Képviseleti tevékenység, ügynöki szerződések, megbíz</w:t>
            </w:r>
            <w:r w:rsidR="005D2BC0">
              <w:rPr>
                <w:sz w:val="20"/>
              </w:rPr>
              <w:t>ások. Útvonalhálózat, menetrend</w:t>
            </w:r>
            <w:r w:rsidRPr="001A0E2A">
              <w:rPr>
                <w:sz w:val="20"/>
              </w:rPr>
              <w:t>tervezés. Menetrendszerű üzemeltetés feltételei. Légitársaság kiszolgálási szerződései.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725C6">
        <w:trPr>
          <w:trHeight w:hRule="exact" w:val="1126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Nem menetrendszerű forgalom. Számítástechnikai alapismeretek. AMADEUS. rendszer általános ismertetése. Carmen automatizált áru-helyfoglalási és kezelési rendszer.</w:t>
            </w:r>
            <w:r w:rsidR="00A82224">
              <w:rPr>
                <w:sz w:val="20"/>
              </w:rPr>
              <w:t xml:space="preserve"> </w:t>
            </w:r>
            <w:r w:rsidRPr="001A0E2A">
              <w:rPr>
                <w:sz w:val="20"/>
              </w:rPr>
              <w:t>DCS rendszer általános ismertetése.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1588"/>
        </w:trPr>
        <w:tc>
          <w:tcPr>
            <w:tcW w:w="660" w:type="dxa"/>
            <w:shd w:val="clear" w:color="auto" w:fill="auto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Távközlés feladata, kapcsolata a repüléssel. Nemzetközi szervezetek feladata, egymással való kapcsolata. Szolgálatok, állomások. Naplózás fajtái, jelentősége. Távbeszélő áramkörök, felépítésük, kapcsolatok létesítése, automata központok, faxok. Táviratok, telexek, távgépírók ismertetése, postai távíróközpontok.</w:t>
            </w:r>
          </w:p>
        </w:tc>
        <w:tc>
          <w:tcPr>
            <w:tcW w:w="845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1361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Légiforgalmi állandó helyű távközlési hálózat (AFTN). SITA távközlési hálózat. Rádiós, műholdas összeköttetések felépítése, azok alkalmazási területei. Repülőtérrend. Tűzvédelmi előírások. Balesetvédelmi fel</w:t>
            </w:r>
            <w:r w:rsidR="00A82224">
              <w:rPr>
                <w:sz w:val="20"/>
              </w:rPr>
              <w:t>adatok, munkavédelmi szabályzat</w:t>
            </w:r>
            <w:r w:rsidRPr="001A0E2A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725C6">
        <w:trPr>
          <w:trHeight w:hRule="exact" w:val="1130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Biztonsági területre vonatkozó előírások. Vészhelyzetek osztályozása. Repülőgép balesetek. Erőszakos cselekmények. Meteorológiai információk útja a nemzetközi repülőtereken.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725C6">
        <w:trPr>
          <w:trHeight w:hRule="exact" w:val="1132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Repülésmeteorológiai kódok rövid ismertetése (metár, taff, stb.). Repülésmeteorológiai térképek. Elecma rendszer. Navigáció alapelvei. Légiforgalmi tájékoztató kiadványok. Útvonaltervezés.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6725C6" w:rsidRPr="007D348A" w:rsidTr="006423EC">
        <w:trPr>
          <w:trHeight w:hRule="exact" w:val="1588"/>
        </w:trPr>
        <w:tc>
          <w:tcPr>
            <w:tcW w:w="660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725C6" w:rsidRPr="006A2AB0" w:rsidRDefault="006725C6" w:rsidP="006725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725C6" w:rsidRPr="001A0E2A" w:rsidRDefault="006725C6" w:rsidP="006725C6">
            <w:pPr>
              <w:spacing w:line="276" w:lineRule="auto"/>
              <w:jc w:val="both"/>
              <w:rPr>
                <w:sz w:val="20"/>
              </w:rPr>
            </w:pPr>
            <w:r w:rsidRPr="001A0E2A">
              <w:rPr>
                <w:sz w:val="20"/>
              </w:rPr>
              <w:t>Légiforgalmi szolgálatok és feladataik. Műszaki karbantartási formák. Forgalmi karbantartási formák. Repülőgép műszaki kiszolgálása, kiszolgáló eszközök és szolgálatok. Kiszolgálási ismeretek / JAR-OPS követelmények. Terhelési, tüzelőanyag számítási, egyensúlyszámítási ismeretek</w:t>
            </w:r>
            <w:r w:rsidR="005D2BC0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725C6" w:rsidRPr="007D348A" w:rsidRDefault="006725C6" w:rsidP="006725C6">
            <w:pPr>
              <w:spacing w:line="276" w:lineRule="auto"/>
              <w:jc w:val="center"/>
            </w:pPr>
          </w:p>
        </w:tc>
      </w:tr>
      <w:tr w:rsidR="00330A17" w:rsidRPr="006A2AB0" w:rsidTr="006423E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68</w:t>
            </w:r>
          </w:p>
        </w:tc>
        <w:tc>
          <w:tcPr>
            <w:tcW w:w="4748" w:type="dxa"/>
            <w:vAlign w:val="center"/>
          </w:tcPr>
          <w:p w:rsidR="00330A17" w:rsidRPr="006A2AB0" w:rsidRDefault="00330A17" w:rsidP="00330A17">
            <w:pPr>
              <w:spacing w:line="276" w:lineRule="auto"/>
              <w:jc w:val="center"/>
              <w:rPr>
                <w:sz w:val="20"/>
              </w:rPr>
            </w:pPr>
            <w:r w:rsidRPr="006A2AB0">
              <w:rPr>
                <w:rFonts w:eastAsia="Times New Roman"/>
                <w:color w:val="000000"/>
                <w:sz w:val="20"/>
                <w:szCs w:val="18"/>
              </w:rPr>
              <w:t>Jegyeladási ismeretek a gyakorlatban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AIRIMP. AMADEUS helyfoglalási rendszer. Tarifa és jegykiállítás.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6423EC">
              <w:rPr>
                <w:sz w:val="20"/>
              </w:rPr>
              <w:t>IATA Area-k. Az APT ismertetése a gyakorlatban. Mileagesystem (Mérföldezés).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 xml:space="preserve">Nem légi úton megtett </w:t>
            </w:r>
            <w:r w:rsidR="00A82224">
              <w:rPr>
                <w:sz w:val="20"/>
              </w:rPr>
              <w:t>szakasz /</w:t>
            </w:r>
            <w:r w:rsidRPr="000B7D18">
              <w:rPr>
                <w:sz w:val="20"/>
              </w:rPr>
              <w:t>surfacetransportation/. Útmegszakítás. Stopover. HIP.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Sidetrip. Nemzetközi eladási módozatok. Retúr és körutazások. Egyirányú utazások (OW).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Az átfogó díjtétel elsőbbsége. Korlátozások indirect utazás esetén. A szakaszárak legalacsonyabb kombinálása.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Open Jaw utazások. Tax – ok. A repülőjegy.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Kedvezményes díjtételek /Specialfares/. Csökkentett díjtételek /DiscountedFares/. Átengedményezés (Endorsement).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Csereutalvány (MCO). Poggyász. AIRFARE és TICKETING. PTA telepített jegyek.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572F5F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72F5F" w:rsidRPr="006A2AB0" w:rsidRDefault="00572F5F" w:rsidP="00572F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572F5F" w:rsidRPr="000B7D18" w:rsidRDefault="00572F5F" w:rsidP="00572F5F">
            <w:pPr>
              <w:spacing w:line="276" w:lineRule="auto"/>
              <w:jc w:val="both"/>
              <w:rPr>
                <w:sz w:val="20"/>
              </w:rPr>
            </w:pPr>
            <w:r w:rsidRPr="000B7D18">
              <w:rPr>
                <w:sz w:val="20"/>
              </w:rPr>
              <w:t>Különleges utas. Törzs utas.</w:t>
            </w:r>
          </w:p>
        </w:tc>
        <w:tc>
          <w:tcPr>
            <w:tcW w:w="845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72F5F" w:rsidRPr="007D348A" w:rsidRDefault="00572F5F" w:rsidP="00572F5F">
            <w:pPr>
              <w:spacing w:line="276" w:lineRule="auto"/>
              <w:jc w:val="center"/>
            </w:pPr>
          </w:p>
        </w:tc>
      </w:tr>
      <w:tr w:rsidR="00330A17" w:rsidRPr="006A2AB0" w:rsidTr="006423E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68</w:t>
            </w:r>
          </w:p>
        </w:tc>
        <w:tc>
          <w:tcPr>
            <w:tcW w:w="4748" w:type="dxa"/>
            <w:vAlign w:val="center"/>
          </w:tcPr>
          <w:p w:rsidR="00330A17" w:rsidRPr="006A2AB0" w:rsidRDefault="00330A17" w:rsidP="00330A17">
            <w:pPr>
              <w:spacing w:line="276" w:lineRule="auto"/>
              <w:jc w:val="center"/>
              <w:rPr>
                <w:sz w:val="20"/>
              </w:rPr>
            </w:pPr>
            <w:r w:rsidRPr="006A2AB0">
              <w:rPr>
                <w:rFonts w:eastAsia="Times New Roman"/>
                <w:color w:val="000000"/>
                <w:sz w:val="20"/>
                <w:szCs w:val="18"/>
              </w:rPr>
              <w:t>Utaskiszolgálási ismeretek a gyakorlatban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A földi utaskiszolgálás területei, ezek főbb jellemzői. Az utasforgalomban használt IATA kiadványok ismertetése.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1588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Kapcsolattartás a társszolgálatokkal az utaskiszolgálási folyamat során. Földi Utaskiszolgálási Szerződés utaskiszolgálási részéinek ismertetése. A repülőjegy utaskiszolgálási szempontból fontos részeinek ismertetése. A repülőjegy elfogadásának szabályai utasfelvétel esetén.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Poggyászokra vonatkozó ismeretek a gyakorlatban. Poggyászkategóriák csoportosítása. Poggyászkezelés során használt címkék fajtái. Poggyászfelvétel.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Speciális poggyászkategóriák. Poggyász rendellenességek. Speciális utaskategóriák a gyakorlatban.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Kíséretnélküli gyermek. Különleges kiszolgálást igénylő utasok. Be nem fogadott, kiutasított utasok. VIP utasok.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Szállítási feltételek. Utaskezelési ismeretek a gyakorlatban. Járat ismeretek utaskiszolgálási szempontból.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Utaskezelési eljárások. Utaskezelés során használt dokumentumok. Üléstervek. Jártelőkészítés.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79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Utasfelvétel folyamata. A beszállítás menete, fajtái. A tranzit információ tevékenységi köre.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A55A42" w:rsidRPr="007D348A" w:rsidTr="006423EC">
        <w:trPr>
          <w:trHeight w:hRule="exact" w:val="1134"/>
        </w:trPr>
        <w:tc>
          <w:tcPr>
            <w:tcW w:w="660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A55A42" w:rsidRPr="006A2AB0" w:rsidRDefault="00A55A42" w:rsidP="00A55A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A55A42" w:rsidRPr="006373A7" w:rsidRDefault="00A55A42" w:rsidP="00A55A42">
            <w:pPr>
              <w:spacing w:line="276" w:lineRule="auto"/>
              <w:jc w:val="both"/>
              <w:rPr>
                <w:sz w:val="20"/>
              </w:rPr>
            </w:pPr>
            <w:r w:rsidRPr="006373A7">
              <w:rPr>
                <w:sz w:val="20"/>
              </w:rPr>
              <w:t>Utasforgalomban előírt viselkedési normák gyakorlása. Földi kiszolgálási program ismertetése. Utas hibájából bekövetkezett rendellenesség kezelése a gyakorlatban. Járatrendellenesség.</w:t>
            </w:r>
          </w:p>
        </w:tc>
        <w:tc>
          <w:tcPr>
            <w:tcW w:w="845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A55A42" w:rsidRPr="007D348A" w:rsidRDefault="00A55A42" w:rsidP="00A55A42">
            <w:pPr>
              <w:spacing w:line="276" w:lineRule="auto"/>
              <w:jc w:val="center"/>
            </w:pPr>
          </w:p>
        </w:tc>
      </w:tr>
      <w:tr w:rsidR="00330A17" w:rsidRPr="006A2AB0" w:rsidTr="006423E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330A17" w:rsidRPr="006A2AB0" w:rsidRDefault="00330A17" w:rsidP="007335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69</w:t>
            </w:r>
          </w:p>
        </w:tc>
        <w:tc>
          <w:tcPr>
            <w:tcW w:w="4748" w:type="dxa"/>
            <w:vAlign w:val="center"/>
          </w:tcPr>
          <w:p w:rsidR="00330A17" w:rsidRPr="006A2AB0" w:rsidRDefault="00330A17" w:rsidP="00330A17">
            <w:pPr>
              <w:spacing w:line="276" w:lineRule="auto"/>
              <w:jc w:val="center"/>
              <w:rPr>
                <w:sz w:val="20"/>
              </w:rPr>
            </w:pPr>
            <w:r w:rsidRPr="006A2AB0">
              <w:rPr>
                <w:rFonts w:eastAsia="Times New Roman"/>
                <w:color w:val="000000"/>
                <w:sz w:val="20"/>
                <w:szCs w:val="18"/>
              </w:rPr>
              <w:t>Repülőjegy és fuvarlevél elszámolási ismeretek a gyakorlatban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30A17" w:rsidRPr="006A2AB0" w:rsidRDefault="00330A17" w:rsidP="0073358D">
            <w:pPr>
              <w:spacing w:line="276" w:lineRule="auto"/>
              <w:jc w:val="center"/>
            </w:pPr>
          </w:p>
        </w:tc>
      </w:tr>
      <w:tr w:rsidR="00EE4CDF" w:rsidRPr="007D348A" w:rsidTr="00EE4CDF">
        <w:trPr>
          <w:trHeight w:hRule="exact" w:val="1118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Számviteli alapismeretek gyakorlása. Pénzügyi alapismeretek gyakorlása. Jegyérték, fuvarlevél fizetési formák a gyakorlatban. Kapcsolat a főkönyvi nyilvántartással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1361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 xml:space="preserve">Bevétel elszámolási rendszerek a gyakorlatban. Prorátázás. Légitársasági szerződéses rendszerek (multilaterális és bilaterális) és döntéshozatali fórumok. IATA Proráta Értekezletek </w:t>
            </w:r>
            <w:r w:rsidR="00EA228B">
              <w:rPr>
                <w:sz w:val="20"/>
              </w:rPr>
              <w:t>–</w:t>
            </w:r>
            <w:r w:rsidRPr="004A6D09">
              <w:rPr>
                <w:sz w:val="20"/>
              </w:rPr>
              <w:t xml:space="preserve"> Multilateral</w:t>
            </w:r>
            <w:r w:rsidR="00EA228B">
              <w:rPr>
                <w:sz w:val="20"/>
              </w:rPr>
              <w:t xml:space="preserve"> </w:t>
            </w:r>
            <w:r w:rsidRPr="004A6D09">
              <w:rPr>
                <w:sz w:val="20"/>
              </w:rPr>
              <w:t>Proration</w:t>
            </w:r>
            <w:r w:rsidR="00EA228B">
              <w:rPr>
                <w:sz w:val="20"/>
              </w:rPr>
              <w:t xml:space="preserve"> </w:t>
            </w:r>
            <w:r w:rsidRPr="004A6D09">
              <w:rPr>
                <w:sz w:val="20"/>
              </w:rPr>
              <w:t>Agreement (MPA).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794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Prorate</w:t>
            </w:r>
            <w:r w:rsidR="00EA228B">
              <w:rPr>
                <w:sz w:val="20"/>
              </w:rPr>
              <w:t xml:space="preserve"> </w:t>
            </w:r>
            <w:r w:rsidRPr="004A6D09">
              <w:rPr>
                <w:sz w:val="20"/>
              </w:rPr>
              <w:t>Agency, prorátázásirészletek.</w:t>
            </w:r>
            <w:r w:rsidR="00EA228B">
              <w:rPr>
                <w:sz w:val="20"/>
              </w:rPr>
              <w:t xml:space="preserve"> </w:t>
            </w:r>
            <w:r w:rsidRPr="004A6D09">
              <w:rPr>
                <w:sz w:val="20"/>
              </w:rPr>
              <w:t>Prorate</w:t>
            </w:r>
            <w:r w:rsidR="00EA228B">
              <w:rPr>
                <w:sz w:val="20"/>
              </w:rPr>
              <w:t xml:space="preserve"> </w:t>
            </w:r>
            <w:r w:rsidRPr="004A6D09">
              <w:rPr>
                <w:sz w:val="20"/>
              </w:rPr>
              <w:t>Manual – részei: prorat</w:t>
            </w:r>
            <w:r>
              <w:rPr>
                <w:sz w:val="20"/>
              </w:rPr>
              <w:t>efactor és provisobaseamount.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794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MPA - a szerződés hatálya, a prorátázandó összeg megállapítása, proviso-kra és requirement-ekre vonatozó szabályok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E4CDF">
        <w:trPr>
          <w:trHeight w:hRule="exact" w:val="1135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Légitársaságok közötti elszámolás szabályai gyakorlatban: a IATA Clearing House és a bevétel-elszámolási szabályok, a Revenue Accounting Manual (RAM)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E4CDF">
        <w:trPr>
          <w:trHeight w:hRule="exact" w:val="1123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Légitársaságok közötti elszámolás szabályai gyakorlatban: valuta konverzió a repülőjegy számlázásokra, alapvető számlázási szabályok, egyéb számlázási szabályok, visszaterhelések és határidők.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794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Eladási jelentések és visszatérítések ellenőrzése a gyakorlatban. Jegykészlet és ellenőrzés. Dokumentum típusok és főbb jellemzőik. Eladóhelyek típusai.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794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EE4CDF" w:rsidRPr="004A6D09" w:rsidRDefault="00EE4CDF" w:rsidP="00EE4CDF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>Eladási jelentések (salesreport). Fizetési formák. Visszatérítési eljárások. Ellenőrzések és korrekciók. Fizetések.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  <w:tr w:rsidR="00EE4CDF" w:rsidRPr="007D348A" w:rsidTr="00EA228B">
        <w:trPr>
          <w:trHeight w:hRule="exact" w:val="1588"/>
        </w:trPr>
        <w:tc>
          <w:tcPr>
            <w:tcW w:w="660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EE4CDF" w:rsidRPr="006A2AB0" w:rsidRDefault="00EE4CDF" w:rsidP="00EE4C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2AB0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748" w:type="dxa"/>
          </w:tcPr>
          <w:p w:rsidR="00EE4CDF" w:rsidRPr="004A6D09" w:rsidRDefault="00EE4CDF" w:rsidP="00A82224">
            <w:pPr>
              <w:spacing w:line="276" w:lineRule="auto"/>
              <w:jc w:val="both"/>
              <w:rPr>
                <w:sz w:val="20"/>
              </w:rPr>
            </w:pPr>
            <w:r w:rsidRPr="004A6D09">
              <w:rPr>
                <w:sz w:val="20"/>
              </w:rPr>
              <w:t xml:space="preserve">Jegy illetve fuvarlevél elszámoláshoz kapcsolódó szabályok gyakorlati alkalmazása. Adók és díjak fogalma, típusai. Utast terhelő adók, utasra át nem hárítható díjak. Eladási adók, interlineabletaxok. </w:t>
            </w:r>
            <w:r w:rsidR="00A82224">
              <w:rPr>
                <w:sz w:val="20"/>
              </w:rPr>
              <w:t>A</w:t>
            </w:r>
            <w:r w:rsidRPr="004A6D09">
              <w:rPr>
                <w:sz w:val="20"/>
              </w:rPr>
              <w:t>dók beszedése (utastól, más légitársaságtól), elszámolása és fizetése a hatóságok felé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EE4CDF" w:rsidRPr="007D348A" w:rsidRDefault="00EE4CDF" w:rsidP="00EE4CDF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6A2AB0">
      <w:pgSz w:w="11906" w:h="16838"/>
      <w:pgMar w:top="993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92" w:rsidRDefault="00202492" w:rsidP="00B2485D">
      <w:r>
        <w:separator/>
      </w:r>
    </w:p>
  </w:endnote>
  <w:endnote w:type="continuationSeparator" w:id="1">
    <w:p w:rsidR="00202492" w:rsidRDefault="0020249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423EC" w:rsidRDefault="001D54EE">
        <w:pPr>
          <w:pStyle w:val="llb"/>
          <w:jc w:val="center"/>
        </w:pPr>
        <w:fldSimple w:instr="PAGE   \* MERGEFORMAT">
          <w:r w:rsidR="00D45E7F">
            <w:rPr>
              <w:noProof/>
            </w:rPr>
            <w:t>1</w:t>
          </w:r>
        </w:fldSimple>
      </w:p>
    </w:sdtContent>
  </w:sdt>
  <w:p w:rsidR="006423EC" w:rsidRDefault="006423EC" w:rsidP="006A2AB0">
    <w:pPr>
      <w:pStyle w:val="lfej"/>
      <w:jc w:val="center"/>
    </w:pPr>
    <w:r>
      <w:t>5484103.1</w:t>
    </w:r>
    <w:r w:rsidR="009C57EB">
      <w:t>4</w:t>
    </w:r>
    <w:r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92" w:rsidRDefault="00202492" w:rsidP="00B2485D">
      <w:r>
        <w:separator/>
      </w:r>
    </w:p>
  </w:footnote>
  <w:footnote w:type="continuationSeparator" w:id="1">
    <w:p w:rsidR="00202492" w:rsidRDefault="00202492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64A00"/>
    <w:rsid w:val="00183A93"/>
    <w:rsid w:val="001D54EE"/>
    <w:rsid w:val="00200CE2"/>
    <w:rsid w:val="00202492"/>
    <w:rsid w:val="00264B0B"/>
    <w:rsid w:val="002B6D9D"/>
    <w:rsid w:val="002E6AD5"/>
    <w:rsid w:val="00330A17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2211"/>
    <w:rsid w:val="00567BE7"/>
    <w:rsid w:val="00572F5F"/>
    <w:rsid w:val="005C63E9"/>
    <w:rsid w:val="005D2BC0"/>
    <w:rsid w:val="005F1E25"/>
    <w:rsid w:val="00640F20"/>
    <w:rsid w:val="006423EC"/>
    <w:rsid w:val="006725C6"/>
    <w:rsid w:val="006A2AB0"/>
    <w:rsid w:val="006C591C"/>
    <w:rsid w:val="00703883"/>
    <w:rsid w:val="00722A85"/>
    <w:rsid w:val="0073358D"/>
    <w:rsid w:val="007D348A"/>
    <w:rsid w:val="008621EF"/>
    <w:rsid w:val="008B656A"/>
    <w:rsid w:val="008C0910"/>
    <w:rsid w:val="008F034E"/>
    <w:rsid w:val="00965A2B"/>
    <w:rsid w:val="00971AB4"/>
    <w:rsid w:val="009A2FBE"/>
    <w:rsid w:val="009C57EB"/>
    <w:rsid w:val="009E2592"/>
    <w:rsid w:val="009F0791"/>
    <w:rsid w:val="00A55A42"/>
    <w:rsid w:val="00A75071"/>
    <w:rsid w:val="00A82224"/>
    <w:rsid w:val="00AA2B5E"/>
    <w:rsid w:val="00AB22E3"/>
    <w:rsid w:val="00AE3584"/>
    <w:rsid w:val="00B03D8D"/>
    <w:rsid w:val="00B2485D"/>
    <w:rsid w:val="00BE63E9"/>
    <w:rsid w:val="00BF7A62"/>
    <w:rsid w:val="00C2748D"/>
    <w:rsid w:val="00C6286A"/>
    <w:rsid w:val="00CA663C"/>
    <w:rsid w:val="00D07254"/>
    <w:rsid w:val="00D45E7F"/>
    <w:rsid w:val="00D93ACD"/>
    <w:rsid w:val="00DC4068"/>
    <w:rsid w:val="00DD7EBB"/>
    <w:rsid w:val="00DE6760"/>
    <w:rsid w:val="00EA228B"/>
    <w:rsid w:val="00EE4CDF"/>
    <w:rsid w:val="00F22839"/>
    <w:rsid w:val="00F37F3B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CE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00CE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00CE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00CE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00CE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00CE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00C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00C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00CE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00CE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00CE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4119-2AAC-421D-A7C9-EF5404A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2017-10-23T08:47:00Z</dcterms:created>
  <dcterms:modified xsi:type="dcterms:W3CDTF">2017-10-23T08:47:00Z</dcterms:modified>
</cp:coreProperties>
</file>