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7E05E3" w:rsidRDefault="003113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Vendéglátó-üzletvezető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163ED6">
        <w:rPr>
          <w:sz w:val="28"/>
          <w:szCs w:val="28"/>
        </w:rPr>
        <w:t xml:space="preserve"> </w:t>
      </w:r>
      <w:r w:rsidR="0031135A">
        <w:rPr>
          <w:sz w:val="28"/>
          <w:szCs w:val="28"/>
        </w:rPr>
        <w:t>35 811 02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240D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240D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240D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240D2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240D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240D2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240D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240D2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252" w:type="dxa"/>
        <w:tblLook w:val="04A0"/>
      </w:tblPr>
      <w:tblGrid>
        <w:gridCol w:w="661"/>
        <w:gridCol w:w="923"/>
        <w:gridCol w:w="776"/>
        <w:gridCol w:w="4750"/>
        <w:gridCol w:w="844"/>
        <w:gridCol w:w="923"/>
        <w:gridCol w:w="1375"/>
      </w:tblGrid>
      <w:tr w:rsidR="00090A1B" w:rsidTr="00DE64D5">
        <w:trPr>
          <w:cantSplit/>
          <w:tblHeader/>
        </w:trPr>
        <w:tc>
          <w:tcPr>
            <w:tcW w:w="2360" w:type="dxa"/>
            <w:gridSpan w:val="3"/>
          </w:tcPr>
          <w:p w:rsidR="00090A1B" w:rsidRPr="003B6C16" w:rsidRDefault="00090A1B" w:rsidP="001411B8">
            <w:pPr>
              <w:jc w:val="center"/>
              <w:rPr>
                <w:b/>
              </w:rPr>
            </w:pPr>
            <w:r w:rsidRPr="003B6C16">
              <w:rPr>
                <w:b/>
              </w:rPr>
              <w:t>Foglalkozás</w:t>
            </w:r>
          </w:p>
        </w:tc>
        <w:tc>
          <w:tcPr>
            <w:tcW w:w="4750" w:type="dxa"/>
            <w:vMerge w:val="restart"/>
            <w:vAlign w:val="center"/>
          </w:tcPr>
          <w:p w:rsidR="00C6286A" w:rsidRPr="00163ED6" w:rsidRDefault="00512211" w:rsidP="00163ED6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E64D5">
        <w:trPr>
          <w:cantSplit/>
          <w:tblHeader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Dátum</w:t>
            </w:r>
          </w:p>
        </w:tc>
        <w:tc>
          <w:tcPr>
            <w:tcW w:w="776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Óra</w:t>
            </w:r>
          </w:p>
        </w:tc>
        <w:tc>
          <w:tcPr>
            <w:tcW w:w="4750" w:type="dxa"/>
            <w:vMerge/>
          </w:tcPr>
          <w:p w:rsidR="00090A1B" w:rsidRPr="00AA2B5E" w:rsidRDefault="00090A1B" w:rsidP="003B6C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DE64D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3B6C16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D93ACD" w:rsidRPr="003B6C16" w:rsidRDefault="00E5798B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4750" w:type="dxa"/>
            <w:vAlign w:val="center"/>
          </w:tcPr>
          <w:p w:rsidR="00DE6BB2" w:rsidRDefault="0031135A" w:rsidP="008413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11536-16</w:t>
            </w:r>
          </w:p>
          <w:p w:rsidR="0031135A" w:rsidRPr="00AE065A" w:rsidRDefault="0031135A" w:rsidP="008413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Marketing a vendéglátásban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163ED6" w:rsidTr="00DE64D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163ED6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3F3D20" w:rsidRPr="00163ED6" w:rsidRDefault="0031135A" w:rsidP="00DE6BB2">
            <w:pPr>
              <w:jc w:val="center"/>
              <w:rPr>
                <w:sz w:val="24"/>
                <w:szCs w:val="24"/>
              </w:rPr>
            </w:pPr>
            <w:r w:rsidRPr="00163ED6">
              <w:rPr>
                <w:sz w:val="24"/>
                <w:szCs w:val="24"/>
              </w:rPr>
              <w:t>224</w:t>
            </w:r>
          </w:p>
        </w:tc>
        <w:tc>
          <w:tcPr>
            <w:tcW w:w="4750" w:type="dxa"/>
            <w:vAlign w:val="center"/>
          </w:tcPr>
          <w:p w:rsidR="003F3D20" w:rsidRPr="00163ED6" w:rsidRDefault="0031135A" w:rsidP="008413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ED6">
              <w:rPr>
                <w:sz w:val="24"/>
                <w:szCs w:val="24"/>
              </w:rPr>
              <w:t>A vendéglátó gazdálkodás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3D20" w:rsidRPr="00163ED6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DE64D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3B6C16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D93ACD" w:rsidRPr="003B6C16" w:rsidRDefault="0031135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50" w:type="dxa"/>
            <w:vAlign w:val="center"/>
          </w:tcPr>
          <w:p w:rsidR="00D93ACD" w:rsidRPr="00567BE7" w:rsidRDefault="0031135A" w:rsidP="0084137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Adózás és ügyvitel a vendéglátásban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RPr="00AE065A" w:rsidTr="00DE64D5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3B6C16" w:rsidRDefault="00DE6BB2" w:rsidP="00090A1B">
            <w:pPr>
              <w:jc w:val="center"/>
              <w:rPr>
                <w:sz w:val="20"/>
                <w:szCs w:val="20"/>
              </w:rPr>
            </w:pPr>
            <w:r w:rsidRPr="003B6C16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636282" w:rsidRDefault="00636282" w:rsidP="00841378">
            <w:pPr>
              <w:tabs>
                <w:tab w:val="left" w:pos="91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Bizonylatok típusai, szigorú számadású bizonylatok jellemzői</w:t>
            </w:r>
            <w:r>
              <w:rPr>
                <w:sz w:val="20"/>
                <w:szCs w:val="20"/>
              </w:rPr>
              <w:t xml:space="preserve">. </w:t>
            </w:r>
            <w:r w:rsidRPr="00636282">
              <w:rPr>
                <w:sz w:val="20"/>
                <w:szCs w:val="20"/>
              </w:rPr>
              <w:t>Ügyvitel fogalma, gaz</w:t>
            </w:r>
            <w:r>
              <w:rPr>
                <w:sz w:val="20"/>
                <w:szCs w:val="20"/>
              </w:rPr>
              <w:t xml:space="preserve">dasági esemény és bizonylatolás. </w:t>
            </w:r>
            <w:r w:rsidRPr="00636282">
              <w:rPr>
                <w:sz w:val="20"/>
                <w:szCs w:val="20"/>
              </w:rPr>
              <w:t>Nyomtatványok felismerése, kitöltése, alkalmazása, tartalmának ismerete (készpénzfizetési számla, nyugta, átutalási számla, felvásárlási jegy, standív, étkezési utalványok, vásárlók könyve, stb.)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D93ACD" w:rsidRPr="00AE065A" w:rsidTr="00DE64D5">
        <w:trPr>
          <w:trHeight w:val="794"/>
        </w:trPr>
        <w:tc>
          <w:tcPr>
            <w:tcW w:w="661" w:type="dxa"/>
            <w:vAlign w:val="center"/>
          </w:tcPr>
          <w:p w:rsidR="00D93ACD" w:rsidRPr="003B6C16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3B6C16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D93ACD" w:rsidRPr="003B6C16" w:rsidRDefault="00DE6BB2" w:rsidP="00D93ACD">
            <w:pPr>
              <w:jc w:val="center"/>
              <w:rPr>
                <w:sz w:val="20"/>
                <w:szCs w:val="20"/>
              </w:rPr>
            </w:pPr>
            <w:r w:rsidRPr="003B6C16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93ACD" w:rsidRPr="00AE065A" w:rsidRDefault="00636282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Készletgazdálkodás a vendéglátásban: a készletgazdálkodás fogalmai (nyitókészlet, készletnövekedés, készletcsökkenés, értékesítésen kívüli készletcsökkenés, zárókészlet, átlagkészlet, forgási sebesség) bizonylatainak típusai, kitöltése (szállítólevél, számla, bevételezési-kiadási bizonylat, vételezési jegy, selejtezési ív)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D93ACD" w:rsidRPr="00AE065A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90A1B" w:rsidRPr="00AE065A" w:rsidTr="00DE64D5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3B6C16" w:rsidRDefault="00DE6BB2" w:rsidP="00090A1B">
            <w:pPr>
              <w:jc w:val="center"/>
              <w:rPr>
                <w:sz w:val="20"/>
                <w:szCs w:val="20"/>
              </w:rPr>
            </w:pPr>
            <w:r w:rsidRPr="003B6C16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AE065A" w:rsidRDefault="00636282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Leltározás: áruátvétel, bevételezés, készletnyilvántartás, leltározás módjai (elszámoltató, lecsapó, átadó-átvevő, vagyonmegállapító) folyamata, bizonylatainak ismerete, kitöltése (leltárív, leltárjegyzőkönyv), standolás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DE64D5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3B6C16" w:rsidRDefault="00495C3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AE065A" w:rsidRDefault="000F58E8" w:rsidP="000F58E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Írásbeli kommunikáció (üzleti</w:t>
            </w:r>
            <w:r w:rsidR="00636282" w:rsidRPr="00636282">
              <w:rPr>
                <w:sz w:val="20"/>
                <w:szCs w:val="20"/>
              </w:rPr>
              <w:t>/hivatalos lev</w:t>
            </w:r>
            <w:r>
              <w:rPr>
                <w:sz w:val="20"/>
                <w:szCs w:val="20"/>
              </w:rPr>
              <w:t>él, önéletrajz, névjegykártya</w:t>
            </w:r>
            <w:r w:rsidR="00636282">
              <w:rPr>
                <w:sz w:val="20"/>
                <w:szCs w:val="20"/>
              </w:rPr>
              <w:t>)</w:t>
            </w:r>
            <w:r w:rsidR="00E579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Vendéglátó</w:t>
            </w:r>
            <w:r w:rsidR="00636282" w:rsidRPr="00636282">
              <w:rPr>
                <w:sz w:val="20"/>
                <w:szCs w:val="20"/>
              </w:rPr>
              <w:t>ipari kommunikáció és viselkedés kultúra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495C3A" w:rsidRPr="00AE065A" w:rsidTr="00DE64D5">
        <w:trPr>
          <w:trHeight w:val="794"/>
        </w:trPr>
        <w:tc>
          <w:tcPr>
            <w:tcW w:w="661" w:type="dxa"/>
            <w:vAlign w:val="center"/>
          </w:tcPr>
          <w:p w:rsidR="00495C3A" w:rsidRPr="003B6C16" w:rsidRDefault="00495C3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5C3A" w:rsidRPr="003B6C16" w:rsidRDefault="00495C3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95C3A" w:rsidRPr="003B6C16" w:rsidRDefault="00495C3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95C3A" w:rsidRPr="00AE065A" w:rsidRDefault="00636282" w:rsidP="00E579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Modern kommunikációs csatornák szerepe, előnye-hátránya, használatának szabályai (e-mai</w:t>
            </w:r>
            <w:r w:rsidR="000F58E8">
              <w:rPr>
                <w:sz w:val="20"/>
                <w:szCs w:val="20"/>
              </w:rPr>
              <w:t>l, fax, SMS, MMS, üzenetrögzítő</w:t>
            </w:r>
            <w:r w:rsidRPr="00636282">
              <w:rPr>
                <w:sz w:val="20"/>
                <w:szCs w:val="20"/>
              </w:rPr>
              <w:t>)</w:t>
            </w:r>
            <w:r w:rsidR="00E5798B">
              <w:rPr>
                <w:sz w:val="20"/>
                <w:szCs w:val="20"/>
              </w:rPr>
              <w:t xml:space="preserve">. </w:t>
            </w:r>
            <w:r w:rsidRPr="00636282">
              <w:rPr>
                <w:sz w:val="20"/>
                <w:szCs w:val="20"/>
              </w:rPr>
              <w:t>Adó fogalma, adó alanya, tárgya, adózás alapelvei, funkciói</w:t>
            </w:r>
            <w:r w:rsidR="00E579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95C3A" w:rsidRPr="00AE065A" w:rsidRDefault="00495C3A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495C3A" w:rsidRPr="00AE065A" w:rsidRDefault="00495C3A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495C3A" w:rsidRPr="00AE065A" w:rsidRDefault="00495C3A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495C3A" w:rsidRPr="00AE065A" w:rsidTr="00DE64D5">
        <w:trPr>
          <w:trHeight w:val="794"/>
        </w:trPr>
        <w:tc>
          <w:tcPr>
            <w:tcW w:w="661" w:type="dxa"/>
            <w:vAlign w:val="center"/>
          </w:tcPr>
          <w:p w:rsidR="00495C3A" w:rsidRPr="003B6C16" w:rsidRDefault="00495C3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5C3A" w:rsidRPr="003B6C16" w:rsidRDefault="00495C3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95C3A" w:rsidRPr="003B6C16" w:rsidRDefault="00495C3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95C3A" w:rsidRPr="00AE065A" w:rsidRDefault="00636282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Adók csoportosítása, főbb adófajták jellemzői (SZJA, jövedéki adó, osztalékadó, nyereségadó, helyi adók, ÁFA)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95C3A" w:rsidRPr="00AE065A" w:rsidRDefault="00495C3A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495C3A" w:rsidRPr="00AE065A" w:rsidRDefault="00495C3A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495C3A" w:rsidRPr="00AE065A" w:rsidRDefault="00495C3A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495C3A" w:rsidRPr="00AE065A" w:rsidTr="00DE64D5">
        <w:trPr>
          <w:trHeight w:val="794"/>
        </w:trPr>
        <w:tc>
          <w:tcPr>
            <w:tcW w:w="661" w:type="dxa"/>
            <w:vAlign w:val="center"/>
          </w:tcPr>
          <w:p w:rsidR="00495C3A" w:rsidRPr="003B6C16" w:rsidRDefault="00495C3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5C3A" w:rsidRPr="003B6C16" w:rsidRDefault="00495C3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95C3A" w:rsidRPr="003B6C16" w:rsidRDefault="0031135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495C3A" w:rsidRPr="00AE065A" w:rsidRDefault="00636282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Adók csoportosítása, főbb adófajták jellemzői (SZJA, jövedéki adó, osztalékadó, nyereségadó, helyi adók, ÁFA)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95C3A" w:rsidRPr="00AE065A" w:rsidRDefault="00495C3A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495C3A" w:rsidRPr="00AE065A" w:rsidRDefault="00495C3A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495C3A" w:rsidRPr="00AE065A" w:rsidRDefault="00495C3A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264B0B" w:rsidRPr="00AE065A" w:rsidTr="00DE64D5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3B6C16" w:rsidRDefault="00264B0B" w:rsidP="004C77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64B0B" w:rsidRPr="003B6C16" w:rsidRDefault="0031135A" w:rsidP="004C7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50" w:type="dxa"/>
            <w:vAlign w:val="center"/>
          </w:tcPr>
          <w:p w:rsidR="00264B0B" w:rsidRPr="00AE065A" w:rsidRDefault="0031135A" w:rsidP="008413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Alap-, tömeg- és veszteségszámítás</w:t>
            </w:r>
          </w:p>
        </w:tc>
        <w:tc>
          <w:tcPr>
            <w:tcW w:w="3142" w:type="dxa"/>
            <w:gridSpan w:val="3"/>
            <w:shd w:val="clear" w:color="auto" w:fill="BFBFBF"/>
          </w:tcPr>
          <w:p w:rsidR="00264B0B" w:rsidRPr="00AE065A" w:rsidRDefault="00264B0B" w:rsidP="004C77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DE64D5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3B6C16" w:rsidRDefault="0031135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090A1B" w:rsidRPr="00636282" w:rsidRDefault="00636282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Százalékszámítás, kerekítés szabályai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DE64D5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3B6C16" w:rsidRDefault="00DE6BB2" w:rsidP="00090A1B">
            <w:pPr>
              <w:jc w:val="center"/>
              <w:rPr>
                <w:sz w:val="20"/>
                <w:szCs w:val="20"/>
              </w:rPr>
            </w:pPr>
            <w:r w:rsidRPr="003B6C16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636282" w:rsidRDefault="00636282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Mértékegység átváltások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DE64D5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3B6C16" w:rsidRDefault="00495C3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636282" w:rsidRDefault="00636282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Tömegszámítás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5C3A" w:rsidRPr="00AE065A" w:rsidTr="00DE64D5">
        <w:trPr>
          <w:trHeight w:val="794"/>
        </w:trPr>
        <w:tc>
          <w:tcPr>
            <w:tcW w:w="661" w:type="dxa"/>
            <w:vAlign w:val="center"/>
          </w:tcPr>
          <w:p w:rsidR="00495C3A" w:rsidRPr="003B6C16" w:rsidRDefault="00495C3A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5C3A" w:rsidRPr="003B6C16" w:rsidRDefault="00495C3A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95C3A" w:rsidRPr="003B6C16" w:rsidRDefault="00495C3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95C3A" w:rsidRPr="00636282" w:rsidRDefault="00636282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Energia- és tápérték táblázat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95C3A" w:rsidRPr="00AE065A" w:rsidRDefault="00495C3A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95C3A" w:rsidRPr="00AE065A" w:rsidRDefault="00495C3A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95C3A" w:rsidRPr="00AE065A" w:rsidRDefault="00495C3A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5C3A" w:rsidRPr="00AE065A" w:rsidTr="00DE64D5">
        <w:trPr>
          <w:trHeight w:val="794"/>
        </w:trPr>
        <w:tc>
          <w:tcPr>
            <w:tcW w:w="661" w:type="dxa"/>
            <w:vAlign w:val="center"/>
          </w:tcPr>
          <w:p w:rsidR="00495C3A" w:rsidRPr="003B6C16" w:rsidRDefault="00495C3A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5C3A" w:rsidRPr="003B6C16" w:rsidRDefault="00495C3A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95C3A" w:rsidRPr="003B6C16" w:rsidRDefault="00495C3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95C3A" w:rsidRPr="00636282" w:rsidRDefault="00636282" w:rsidP="00E579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Anyaghányad-számítás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95C3A" w:rsidRPr="00AE065A" w:rsidRDefault="00495C3A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95C3A" w:rsidRPr="00AE065A" w:rsidRDefault="00495C3A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95C3A" w:rsidRPr="00AE065A" w:rsidRDefault="00495C3A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5C3A" w:rsidRPr="00AE065A" w:rsidTr="00DE64D5">
        <w:trPr>
          <w:trHeight w:val="794"/>
        </w:trPr>
        <w:tc>
          <w:tcPr>
            <w:tcW w:w="661" w:type="dxa"/>
            <w:vAlign w:val="center"/>
          </w:tcPr>
          <w:p w:rsidR="00495C3A" w:rsidRPr="003B6C16" w:rsidRDefault="00495C3A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5C3A" w:rsidRPr="003B6C16" w:rsidRDefault="00495C3A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95C3A" w:rsidRPr="003B6C16" w:rsidRDefault="00495C3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95C3A" w:rsidRPr="00636282" w:rsidRDefault="00636282" w:rsidP="00841378">
            <w:pPr>
              <w:spacing w:line="276" w:lineRule="auto"/>
              <w:ind w:firstLine="11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Veszteség- és tömegnövekedés számítás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95C3A" w:rsidRPr="00AE065A" w:rsidRDefault="00495C3A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95C3A" w:rsidRPr="00AE065A" w:rsidRDefault="00495C3A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95C3A" w:rsidRPr="00AE065A" w:rsidRDefault="00495C3A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5C3A" w:rsidRPr="00AE065A" w:rsidTr="00DE64D5">
        <w:trPr>
          <w:trHeight w:val="794"/>
        </w:trPr>
        <w:tc>
          <w:tcPr>
            <w:tcW w:w="661" w:type="dxa"/>
            <w:vAlign w:val="center"/>
          </w:tcPr>
          <w:p w:rsidR="00495C3A" w:rsidRPr="003B6C16" w:rsidRDefault="00495C3A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5C3A" w:rsidRPr="003B6C16" w:rsidRDefault="00495C3A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95C3A" w:rsidRPr="003B6C16" w:rsidRDefault="0031135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495C3A" w:rsidRPr="00636282" w:rsidRDefault="00636282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Veszteség- és tömegnövekedés számítás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95C3A" w:rsidRPr="00AE065A" w:rsidRDefault="00495C3A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95C3A" w:rsidRPr="00AE065A" w:rsidRDefault="00495C3A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95C3A" w:rsidRPr="00AE065A" w:rsidRDefault="00495C3A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6C16" w:rsidRPr="00AE065A" w:rsidTr="00DE64D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B6C16" w:rsidRPr="003B6C16" w:rsidRDefault="003B6C16" w:rsidP="00090A1B">
            <w:pPr>
              <w:jc w:val="center"/>
              <w:rPr>
                <w:b/>
                <w:color w:val="A6A6A6" w:themeColor="background1" w:themeShade="A6"/>
                <w:sz w:val="20"/>
                <w:szCs w:val="20"/>
                <w:highlight w:val="lightGray"/>
              </w:rPr>
            </w:pPr>
          </w:p>
        </w:tc>
        <w:tc>
          <w:tcPr>
            <w:tcW w:w="776" w:type="dxa"/>
            <w:vAlign w:val="center"/>
          </w:tcPr>
          <w:p w:rsidR="003B6C16" w:rsidRPr="003B6C16" w:rsidRDefault="0031135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50" w:type="dxa"/>
            <w:vAlign w:val="center"/>
          </w:tcPr>
          <w:p w:rsidR="003B6C16" w:rsidRPr="00DE6BB2" w:rsidRDefault="0031135A" w:rsidP="008413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Viszonyszámok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B6C16" w:rsidRPr="00AE065A" w:rsidRDefault="003B6C16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DE64D5">
        <w:trPr>
          <w:trHeight w:val="794"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090A1B" w:rsidRPr="003B6C16" w:rsidRDefault="0031135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090A1B" w:rsidRPr="00636282" w:rsidRDefault="00636282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Bázis- és láncviszonyszám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90A1B" w:rsidRPr="00AE065A" w:rsidRDefault="00090A1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B1F" w:rsidRPr="00AE065A" w:rsidTr="00DE64D5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E86B1F" w:rsidRPr="003B6C16" w:rsidRDefault="00E86B1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86B1F" w:rsidRPr="00636282" w:rsidRDefault="00636282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Bázis- és láncviszonyszám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B1F" w:rsidRPr="00AE065A" w:rsidTr="00DE64D5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E86B1F" w:rsidRPr="003B6C16" w:rsidRDefault="00E86B1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86B1F" w:rsidRPr="00636282" w:rsidRDefault="00636282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Százalékszámítás kerekítés szabályai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B1F" w:rsidRPr="00AE065A" w:rsidTr="00DE64D5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E86B1F" w:rsidRPr="003B6C16" w:rsidRDefault="00E86B1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86B1F" w:rsidRPr="00636282" w:rsidRDefault="00636282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Megoszlási viszonyszám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B1F" w:rsidRPr="00AE065A" w:rsidTr="00DE64D5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E86B1F" w:rsidRPr="003B6C16" w:rsidRDefault="0031135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E86B1F" w:rsidRPr="00636282" w:rsidRDefault="00636282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Megoszlási viszonyszám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1135A" w:rsidRPr="00AE065A" w:rsidTr="00DE64D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1135A" w:rsidRPr="003B6C16" w:rsidRDefault="0031135A" w:rsidP="0031135A">
            <w:pPr>
              <w:jc w:val="center"/>
              <w:rPr>
                <w:b/>
                <w:color w:val="A6A6A6" w:themeColor="background1" w:themeShade="A6"/>
                <w:sz w:val="20"/>
                <w:szCs w:val="20"/>
                <w:highlight w:val="lightGray"/>
              </w:rPr>
            </w:pPr>
          </w:p>
        </w:tc>
        <w:tc>
          <w:tcPr>
            <w:tcW w:w="776" w:type="dxa"/>
            <w:vAlign w:val="center"/>
          </w:tcPr>
          <w:p w:rsidR="0031135A" w:rsidRPr="003B6C16" w:rsidRDefault="0031135A" w:rsidP="00311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50" w:type="dxa"/>
            <w:vAlign w:val="center"/>
          </w:tcPr>
          <w:p w:rsidR="0031135A" w:rsidRPr="00DE6BB2" w:rsidRDefault="0031135A" w:rsidP="008413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Árképzés és jövedelmezőség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1135A" w:rsidRPr="00AE065A" w:rsidRDefault="0031135A" w:rsidP="003113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B1F" w:rsidRPr="00AE065A" w:rsidTr="00DE64D5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E86B1F" w:rsidRPr="003B6C16" w:rsidRDefault="0031135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E86B1F" w:rsidRPr="00636282" w:rsidRDefault="00636282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Árkialakítás szempontjai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B1F" w:rsidRPr="00AE065A" w:rsidTr="00DE64D5">
        <w:trPr>
          <w:trHeight w:val="794"/>
        </w:trPr>
        <w:tc>
          <w:tcPr>
            <w:tcW w:w="661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6B1F" w:rsidRPr="003B6C16" w:rsidRDefault="00E86B1F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E86B1F" w:rsidRPr="003B6C16" w:rsidRDefault="0031135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86B1F" w:rsidRPr="00636282" w:rsidRDefault="004B4D8F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Áruk és szolgáltatások árának kialakítása, sajátosságai, felépítése (bruttó és nettó ár, ÁFA, bes</w:t>
            </w:r>
            <w:r>
              <w:rPr>
                <w:sz w:val="20"/>
                <w:szCs w:val="20"/>
              </w:rPr>
              <w:t xml:space="preserve">zerzési ár, árrés, haszonkulcs). </w:t>
            </w:r>
            <w:r w:rsidRPr="00636282">
              <w:rPr>
                <w:sz w:val="20"/>
                <w:szCs w:val="20"/>
              </w:rPr>
              <w:t>ÁFA számítás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86B1F" w:rsidRPr="00AE065A" w:rsidRDefault="00E86B1F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B4D8F" w:rsidRPr="00636282" w:rsidRDefault="004B4D8F" w:rsidP="00E579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 xml:space="preserve">Árképzés, </w:t>
            </w:r>
            <w:r w:rsidR="00E5798B" w:rsidRPr="00636282">
              <w:rPr>
                <w:sz w:val="20"/>
                <w:szCs w:val="20"/>
              </w:rPr>
              <w:t>ár kialakítás</w:t>
            </w:r>
            <w:r w:rsidR="00E5798B">
              <w:rPr>
                <w:sz w:val="20"/>
                <w:szCs w:val="20"/>
              </w:rPr>
              <w:t xml:space="preserve">. </w:t>
            </w:r>
            <w:r w:rsidRPr="00636282">
              <w:rPr>
                <w:sz w:val="20"/>
                <w:szCs w:val="20"/>
              </w:rPr>
              <w:t>Árengedmény- és felárszámítás</w:t>
            </w:r>
            <w:r>
              <w:rPr>
                <w:sz w:val="20"/>
                <w:szCs w:val="20"/>
              </w:rPr>
              <w:t xml:space="preserve">. </w:t>
            </w:r>
            <w:r w:rsidRPr="00636282">
              <w:rPr>
                <w:sz w:val="20"/>
                <w:szCs w:val="20"/>
              </w:rPr>
              <w:t>Ár- és bevételelemzés (árrés-szint, anyagfelhasználási-szint, haszonkulcs)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B4D8F" w:rsidRPr="00636282" w:rsidRDefault="004B4D8F" w:rsidP="000F58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36282">
              <w:rPr>
                <w:sz w:val="20"/>
                <w:szCs w:val="20"/>
              </w:rPr>
              <w:t>A költség fogalma, fajtái és azok csoportosítása (nemek szerint, bevételhez való viszonya sz</w:t>
            </w:r>
            <w:r>
              <w:rPr>
                <w:sz w:val="20"/>
                <w:szCs w:val="20"/>
              </w:rPr>
              <w:t xml:space="preserve">erint, elszámolhatóság szerint). </w:t>
            </w:r>
            <w:r w:rsidRPr="00636282">
              <w:rPr>
                <w:sz w:val="20"/>
                <w:szCs w:val="20"/>
              </w:rPr>
              <w:t>Költséggazdálkodás</w:t>
            </w:r>
            <w:r>
              <w:rPr>
                <w:sz w:val="20"/>
                <w:szCs w:val="20"/>
              </w:rPr>
              <w:t xml:space="preserve">, költségelemzés (költségszint). </w:t>
            </w:r>
            <w:r w:rsidRPr="00636282">
              <w:rPr>
                <w:sz w:val="20"/>
                <w:szCs w:val="20"/>
              </w:rPr>
              <w:t>Az eredmény fog</w:t>
            </w:r>
            <w:r w:rsidR="000F58E8">
              <w:rPr>
                <w:sz w:val="20"/>
                <w:szCs w:val="20"/>
              </w:rPr>
              <w:t>alma (nyereség, veszteség, nullszaldó</w:t>
            </w:r>
            <w:r w:rsidRPr="00636282">
              <w:rPr>
                <w:sz w:val="20"/>
                <w:szCs w:val="20"/>
              </w:rPr>
              <w:t>/fedezeti pont)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B4D8F" w:rsidRPr="00636282" w:rsidRDefault="004B4D8F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4D8F">
              <w:rPr>
                <w:sz w:val="20"/>
                <w:szCs w:val="20"/>
              </w:rPr>
              <w:t>Az eredmény-kimutatás menete, jövedelmezőségi tábla készítése, az adózott és az</w:t>
            </w:r>
            <w:r>
              <w:rPr>
                <w:sz w:val="20"/>
                <w:szCs w:val="20"/>
              </w:rPr>
              <w:t xml:space="preserve"> adózatlan eredmény kiszámítása. </w:t>
            </w:r>
            <w:r w:rsidRPr="004B4D8F">
              <w:rPr>
                <w:sz w:val="20"/>
                <w:szCs w:val="20"/>
              </w:rPr>
              <w:t>Az eredmény elemzése (eredményszint)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4B4D8F" w:rsidRPr="00636282" w:rsidRDefault="004B4D8F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4D8F">
              <w:rPr>
                <w:sz w:val="20"/>
                <w:szCs w:val="20"/>
              </w:rPr>
              <w:t>Az eredmény elemzése (eredményszint)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color w:val="A6A6A6" w:themeColor="background1" w:themeShade="A6"/>
                <w:sz w:val="20"/>
                <w:szCs w:val="20"/>
                <w:highlight w:val="lightGray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50" w:type="dxa"/>
            <w:vAlign w:val="center"/>
          </w:tcPr>
          <w:p w:rsidR="004B4D8F" w:rsidRPr="00DE6BB2" w:rsidRDefault="004B4D8F" w:rsidP="008413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Készletgazdálkodás és elszámoltatás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4B4D8F" w:rsidRPr="00636282" w:rsidRDefault="004B4D8F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4D8F">
              <w:rPr>
                <w:sz w:val="20"/>
                <w:szCs w:val="20"/>
              </w:rPr>
              <w:t>Átlagkészlet számítási módok, azok alkalmazása (számtani átlag, súlyozott átlag, kronologikus átlag)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B4D8F" w:rsidRPr="00636282" w:rsidRDefault="004B4D8F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4D8F">
              <w:rPr>
                <w:sz w:val="20"/>
                <w:szCs w:val="20"/>
              </w:rPr>
              <w:t>Árufo</w:t>
            </w:r>
            <w:r>
              <w:rPr>
                <w:sz w:val="20"/>
                <w:szCs w:val="20"/>
              </w:rPr>
              <w:t xml:space="preserve">rgalmi mérlegsor alkalmazása. </w:t>
            </w:r>
            <w:r w:rsidRPr="004B4D8F">
              <w:rPr>
                <w:sz w:val="20"/>
                <w:szCs w:val="20"/>
              </w:rPr>
              <w:t>Készletgazdálkodási mutatószámok alkalmazása (forgási sebesség napokban és fordulatokban)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B4D8F" w:rsidRPr="00636282" w:rsidRDefault="004B4D8F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4D8F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eltárhiány, többlet értelmezése. </w:t>
            </w:r>
            <w:r w:rsidRPr="004B4D8F">
              <w:rPr>
                <w:sz w:val="20"/>
                <w:szCs w:val="20"/>
              </w:rPr>
              <w:t>Normalizált hiány, készen tartási veszteség értelmezése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B4D8F" w:rsidRPr="00636282" w:rsidRDefault="004B4D8F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Raktár elszámoltatása. Termelés elszámoltatása. </w:t>
            </w:r>
            <w:r w:rsidRPr="004B4D8F">
              <w:rPr>
                <w:sz w:val="20"/>
                <w:szCs w:val="20"/>
              </w:rPr>
              <w:t>Értékesítés elszámoltatása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4B4D8F" w:rsidRPr="00636282" w:rsidRDefault="004B4D8F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4D8F">
              <w:rPr>
                <w:sz w:val="20"/>
                <w:szCs w:val="20"/>
              </w:rPr>
              <w:t>Értékesítés elszámoltatása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color w:val="A6A6A6" w:themeColor="background1" w:themeShade="A6"/>
                <w:sz w:val="20"/>
                <w:szCs w:val="20"/>
                <w:highlight w:val="lightGray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50" w:type="dxa"/>
            <w:vAlign w:val="center"/>
          </w:tcPr>
          <w:p w:rsidR="004B4D8F" w:rsidRPr="00DE6BB2" w:rsidRDefault="004B4D8F" w:rsidP="008413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vendéglátásban jellemző vállalkozási formák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4B4D8F" w:rsidRPr="00636282" w:rsidRDefault="004B4D8F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4D8F">
              <w:rPr>
                <w:sz w:val="20"/>
                <w:szCs w:val="20"/>
              </w:rPr>
              <w:t>A gazdálkodás alapegységei, alapfogalmai (állam, gazdálkodó szervezetek, háztartás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B4D8F" w:rsidRPr="004B4D8F" w:rsidRDefault="004B4D8F" w:rsidP="00F3761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4D8F">
              <w:rPr>
                <w:sz w:val="20"/>
                <w:szCs w:val="20"/>
              </w:rPr>
              <w:t>Vállalkozási formák, típusok (egyéni és társas vállalkozások, KKT, BT, KFT, RT)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B4D8F" w:rsidRPr="00636282" w:rsidRDefault="004B4D8F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4D8F">
              <w:rPr>
                <w:sz w:val="20"/>
                <w:szCs w:val="20"/>
              </w:rPr>
              <w:t>Vendéglátásra jellemző vállalkozási típusok jellemzői (egyéni, BT, KFT alapítása, alapításának feltételei, dokumentumai, tagjai, tagok felelőssége, tagok jogai, vállalkozások vagyona, megszűntetési módjai, belső és külső ellenőrzése, NAV)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163ED6" w:rsidTr="00DE64D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B4D8F" w:rsidRPr="00163ED6" w:rsidRDefault="004B4D8F" w:rsidP="004B4D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4B4D8F" w:rsidRPr="00163ED6" w:rsidRDefault="004B4D8F" w:rsidP="004B4D8F">
            <w:pPr>
              <w:jc w:val="center"/>
              <w:rPr>
                <w:sz w:val="24"/>
                <w:szCs w:val="24"/>
              </w:rPr>
            </w:pPr>
            <w:r w:rsidRPr="00163ED6">
              <w:rPr>
                <w:sz w:val="24"/>
                <w:szCs w:val="24"/>
              </w:rPr>
              <w:t>112</w:t>
            </w:r>
          </w:p>
        </w:tc>
        <w:tc>
          <w:tcPr>
            <w:tcW w:w="4750" w:type="dxa"/>
            <w:vAlign w:val="center"/>
          </w:tcPr>
          <w:p w:rsidR="004B4D8F" w:rsidRPr="00163ED6" w:rsidRDefault="004B4D8F" w:rsidP="008413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ED6">
              <w:rPr>
                <w:sz w:val="24"/>
                <w:szCs w:val="24"/>
              </w:rPr>
              <w:t>Vendéglátó marketing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4B4D8F" w:rsidRPr="00163ED6" w:rsidRDefault="004B4D8F" w:rsidP="004B4D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4D8F" w:rsidRPr="00AA2B5E" w:rsidTr="00DE64D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50" w:type="dxa"/>
            <w:vAlign w:val="center"/>
          </w:tcPr>
          <w:p w:rsidR="004B4D8F" w:rsidRPr="00567BE7" w:rsidRDefault="004B4D8F" w:rsidP="0084137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piac elemzésének módszerei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4B4D8F" w:rsidRPr="00AA2B5E" w:rsidRDefault="004B4D8F" w:rsidP="004B4D8F">
            <w:pPr>
              <w:jc w:val="center"/>
              <w:rPr>
                <w:b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B4D8F" w:rsidRPr="00636282" w:rsidRDefault="004B4D8F" w:rsidP="000F58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4D8F">
              <w:rPr>
                <w:sz w:val="20"/>
                <w:szCs w:val="20"/>
              </w:rPr>
              <w:t xml:space="preserve">A marketing fogalma, kialakulása, fejlődési </w:t>
            </w:r>
            <w:r>
              <w:rPr>
                <w:sz w:val="20"/>
                <w:szCs w:val="20"/>
              </w:rPr>
              <w:t>szakaszai</w:t>
            </w:r>
            <w:r w:rsidR="000F58E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Marketingorientáció. </w:t>
            </w:r>
            <w:r w:rsidRPr="004B4D8F">
              <w:rPr>
                <w:sz w:val="20"/>
                <w:szCs w:val="20"/>
              </w:rPr>
              <w:t>A marketingtevékenység részfolyamatai: piacszegmentálás és a piaci csoportok jellemzői; a piackutatás módjai és azok jellemzői; a marketing-mix elemei és jellemzői; végrehajtás és ellenőrzés.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B4D8F" w:rsidRPr="00636282" w:rsidRDefault="004B4D8F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B4D8F">
              <w:rPr>
                <w:sz w:val="20"/>
                <w:szCs w:val="20"/>
              </w:rPr>
              <w:t xml:space="preserve"> piackutatás módjai és azok jellemzői; a marketing-mix elemei és jellemző</w:t>
            </w:r>
            <w:r>
              <w:rPr>
                <w:sz w:val="20"/>
                <w:szCs w:val="20"/>
              </w:rPr>
              <w:t xml:space="preserve">i; végrehajtás és ellenőrzés. </w:t>
            </w:r>
            <w:r w:rsidRPr="004B4D8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iacszegmentálás üzlettípusokra. </w:t>
            </w:r>
            <w:r w:rsidRPr="004B4D8F">
              <w:rPr>
                <w:sz w:val="20"/>
                <w:szCs w:val="20"/>
              </w:rPr>
              <w:t>Szekunder adatgyűjtés, feldolgozás.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B4D8F" w:rsidRPr="00636282" w:rsidRDefault="004B4D8F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4D8F">
              <w:rPr>
                <w:sz w:val="20"/>
                <w:szCs w:val="20"/>
              </w:rPr>
              <w:t>Primer adatgyűjtés (megkérdezés</w:t>
            </w:r>
            <w:r>
              <w:rPr>
                <w:sz w:val="20"/>
                <w:szCs w:val="20"/>
              </w:rPr>
              <w:t xml:space="preserve">es vizsgálatok) és feldolgozás. </w:t>
            </w:r>
            <w:r w:rsidRPr="004B4D8F">
              <w:rPr>
                <w:sz w:val="20"/>
                <w:szCs w:val="20"/>
              </w:rPr>
              <w:t>SWOT analízis, STEEP analízis.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A2B5E" w:rsidTr="00DE64D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50" w:type="dxa"/>
            <w:vAlign w:val="center"/>
          </w:tcPr>
          <w:p w:rsidR="004B4D8F" w:rsidRPr="00567BE7" w:rsidRDefault="004B4D8F" w:rsidP="0084137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marketing mix meghatározása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4B4D8F" w:rsidRPr="00AA2B5E" w:rsidRDefault="004B4D8F" w:rsidP="004B4D8F">
            <w:pPr>
              <w:jc w:val="center"/>
              <w:rPr>
                <w:b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B4D8F" w:rsidRPr="00636282" w:rsidRDefault="00A06EEC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6EEC">
              <w:rPr>
                <w:sz w:val="20"/>
                <w:szCs w:val="20"/>
              </w:rPr>
              <w:t>Termék és szolgálta</w:t>
            </w:r>
            <w:r>
              <w:rPr>
                <w:sz w:val="20"/>
                <w:szCs w:val="20"/>
              </w:rPr>
              <w:t xml:space="preserve">tásfejlesztés a vendéglátásban. </w:t>
            </w:r>
            <w:r w:rsidRPr="00A06EEC">
              <w:rPr>
                <w:sz w:val="20"/>
                <w:szCs w:val="20"/>
              </w:rPr>
              <w:t>Az ár meghatározása.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B4D8F" w:rsidRPr="00636282" w:rsidRDefault="00A06EEC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6EEC">
              <w:rPr>
                <w:sz w:val="20"/>
                <w:szCs w:val="20"/>
              </w:rPr>
              <w:t>Az elo</w:t>
            </w:r>
            <w:r>
              <w:rPr>
                <w:sz w:val="20"/>
                <w:szCs w:val="20"/>
              </w:rPr>
              <w:t xml:space="preserve">sztási csatornák meghatározása. </w:t>
            </w:r>
            <w:r w:rsidRPr="00A06EEC">
              <w:rPr>
                <w:sz w:val="20"/>
                <w:szCs w:val="20"/>
              </w:rPr>
              <w:t>A marketingkommunikáció eszközei: reklám (feladata, célja formái, fogalma; a reklámüzenet; a reklámeszköz fogalma, csoportjai; a reklámhordozó fogalma, csoportjai; a vendéglátásban alkalmazott üzleten belüli és üzleten kívüli reklámeszközök és reklámhordozók); személyes eladás (fogalma, jellemzői); közönségkapcsolatok (fogalma, feladatai, fajtái); eladásösztönzés (fogalma, eszközei); egyéb piacbefolyásoló eszközök.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4B4D8F" w:rsidRPr="00636282" w:rsidRDefault="00A06EEC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6EEC">
              <w:rPr>
                <w:sz w:val="20"/>
                <w:szCs w:val="20"/>
              </w:rPr>
              <w:t>3 P és a szolgáltatás marketing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A2B5E" w:rsidTr="00DE64D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50" w:type="dxa"/>
            <w:vAlign w:val="center"/>
          </w:tcPr>
          <w:p w:rsidR="004B4D8F" w:rsidRPr="00567BE7" w:rsidRDefault="004B4D8F" w:rsidP="0084137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marketingkommunikáció a vendéglátásban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4B4D8F" w:rsidRPr="00AA2B5E" w:rsidRDefault="004B4D8F" w:rsidP="004B4D8F">
            <w:pPr>
              <w:jc w:val="center"/>
              <w:rPr>
                <w:b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4B4D8F" w:rsidRPr="00636282" w:rsidRDefault="00E5798B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Reklám (külső, belső, DM</w:t>
            </w:r>
            <w:r w:rsidR="00A06EEC" w:rsidRPr="00A06EE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B4D8F" w:rsidRPr="00636282" w:rsidRDefault="00A06EEC" w:rsidP="00E5798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6EEC">
              <w:rPr>
                <w:sz w:val="20"/>
                <w:szCs w:val="20"/>
              </w:rPr>
              <w:t>Reklám (külső, belső, DM)</w:t>
            </w:r>
            <w:r w:rsidR="000F58E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B4D8F" w:rsidRPr="00636282" w:rsidRDefault="00A06EEC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6EEC">
              <w:rPr>
                <w:sz w:val="20"/>
                <w:szCs w:val="20"/>
              </w:rPr>
              <w:t>PR (küls</w:t>
            </w:r>
            <w:r>
              <w:rPr>
                <w:sz w:val="20"/>
                <w:szCs w:val="20"/>
              </w:rPr>
              <w:t xml:space="preserve">ő, belső és az arculati elemek). </w:t>
            </w:r>
            <w:r w:rsidRPr="00A06EEC">
              <w:rPr>
                <w:sz w:val="20"/>
                <w:szCs w:val="20"/>
              </w:rPr>
              <w:t>Eladásösztönzés lehetőségei a vendéglátásban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D8F" w:rsidRPr="00AE065A" w:rsidTr="00DE64D5">
        <w:trPr>
          <w:trHeight w:val="794"/>
        </w:trPr>
        <w:tc>
          <w:tcPr>
            <w:tcW w:w="661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4D8F" w:rsidRPr="003B6C16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B4D8F" w:rsidRPr="003B6C16" w:rsidRDefault="004B4D8F" w:rsidP="004B4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B4D8F" w:rsidRPr="00636282" w:rsidRDefault="00A06EEC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6EEC">
              <w:rPr>
                <w:sz w:val="20"/>
                <w:szCs w:val="20"/>
              </w:rPr>
              <w:t>Személyes eladás lehetőségei a vendéglátásban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4B4D8F" w:rsidRPr="00AE065A" w:rsidRDefault="004B4D8F" w:rsidP="004B4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6EEC" w:rsidRPr="00AE065A" w:rsidTr="00DE64D5">
        <w:trPr>
          <w:trHeight w:val="794"/>
        </w:trPr>
        <w:tc>
          <w:tcPr>
            <w:tcW w:w="661" w:type="dxa"/>
            <w:vAlign w:val="center"/>
          </w:tcPr>
          <w:p w:rsidR="00A06EEC" w:rsidRPr="003B6C16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06EEC" w:rsidRPr="003B6C16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06EEC" w:rsidRPr="003B6C16" w:rsidRDefault="00A06EEC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A06EEC" w:rsidRPr="00636282" w:rsidRDefault="00A06EEC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6EEC">
              <w:rPr>
                <w:sz w:val="20"/>
                <w:szCs w:val="20"/>
              </w:rPr>
              <w:t>Személyes eladás lehetőségei a vendéglátásban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6EEC" w:rsidRPr="00AA2B5E" w:rsidTr="00DE64D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06EEC" w:rsidRPr="003B6C16" w:rsidRDefault="00A06EEC" w:rsidP="00A06EEC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A06EEC" w:rsidRPr="003B6C16" w:rsidRDefault="00A06EEC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0" w:type="dxa"/>
            <w:vAlign w:val="center"/>
          </w:tcPr>
          <w:p w:rsidR="00A06EEC" w:rsidRPr="00636282" w:rsidRDefault="00A06EEC" w:rsidP="00841378">
            <w:pPr>
              <w:spacing w:line="276" w:lineRule="auto"/>
              <w:jc w:val="center"/>
              <w:rPr>
                <w:i/>
              </w:rPr>
            </w:pPr>
            <w:r w:rsidRPr="00636282">
              <w:rPr>
                <w:sz w:val="20"/>
              </w:rPr>
              <w:t>Informatika a vendéglátásban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A06EEC" w:rsidRPr="00AA2B5E" w:rsidRDefault="00A06EEC" w:rsidP="00A06EEC">
            <w:pPr>
              <w:jc w:val="center"/>
              <w:rPr>
                <w:b/>
              </w:rPr>
            </w:pPr>
          </w:p>
        </w:tc>
      </w:tr>
      <w:tr w:rsidR="00A06EEC" w:rsidRPr="00AE065A" w:rsidTr="00DE64D5">
        <w:trPr>
          <w:trHeight w:val="794"/>
        </w:trPr>
        <w:tc>
          <w:tcPr>
            <w:tcW w:w="661" w:type="dxa"/>
            <w:vAlign w:val="center"/>
          </w:tcPr>
          <w:p w:rsidR="00A06EEC" w:rsidRPr="003B6C16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06EEC" w:rsidRPr="003B6C16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06EEC" w:rsidRPr="003B6C16" w:rsidRDefault="00A06EEC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A06EEC" w:rsidRPr="00636282" w:rsidRDefault="00A06EEC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Éttermi számítógépes programok. </w:t>
            </w:r>
            <w:r w:rsidRPr="00A06EEC">
              <w:rPr>
                <w:sz w:val="20"/>
                <w:szCs w:val="20"/>
              </w:rPr>
              <w:t>Internethasználat.</w:t>
            </w:r>
          </w:p>
        </w:tc>
        <w:tc>
          <w:tcPr>
            <w:tcW w:w="844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6EEC" w:rsidRPr="00AE065A" w:rsidTr="00DE64D5">
        <w:trPr>
          <w:trHeight w:val="794"/>
        </w:trPr>
        <w:tc>
          <w:tcPr>
            <w:tcW w:w="661" w:type="dxa"/>
            <w:vAlign w:val="center"/>
          </w:tcPr>
          <w:p w:rsidR="00A06EEC" w:rsidRPr="003B6C16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06EEC" w:rsidRPr="003B6C16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06EEC" w:rsidRPr="003B6C16" w:rsidRDefault="00A06EEC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06EEC" w:rsidRPr="00636282" w:rsidRDefault="00A06EEC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Éttermi számítógépes programok. </w:t>
            </w:r>
            <w:r w:rsidRPr="00A06EEC">
              <w:rPr>
                <w:sz w:val="20"/>
                <w:szCs w:val="20"/>
              </w:rPr>
              <w:t>Internethasználat.</w:t>
            </w:r>
          </w:p>
        </w:tc>
        <w:tc>
          <w:tcPr>
            <w:tcW w:w="844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6EEC" w:rsidRPr="00AE065A" w:rsidTr="00DE64D5">
        <w:trPr>
          <w:trHeight w:val="794"/>
        </w:trPr>
        <w:tc>
          <w:tcPr>
            <w:tcW w:w="661" w:type="dxa"/>
            <w:vAlign w:val="center"/>
          </w:tcPr>
          <w:p w:rsidR="00A06EEC" w:rsidRPr="003B6C16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06EEC" w:rsidRPr="003B6C16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06EEC" w:rsidRPr="003B6C16" w:rsidRDefault="00A06EEC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06EEC" w:rsidRPr="00636282" w:rsidRDefault="00A06EEC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Honlap tervezés, kezelés. </w:t>
            </w:r>
            <w:r w:rsidRPr="00A06EEC">
              <w:rPr>
                <w:sz w:val="20"/>
                <w:szCs w:val="20"/>
              </w:rPr>
              <w:t>Statisztikák készítése.</w:t>
            </w:r>
            <w:r w:rsidR="000F58E8">
              <w:rPr>
                <w:sz w:val="20"/>
                <w:szCs w:val="20"/>
              </w:rPr>
              <w:t xml:space="preserve"> </w:t>
            </w:r>
            <w:r w:rsidRPr="00A06EEC">
              <w:rPr>
                <w:sz w:val="20"/>
                <w:szCs w:val="20"/>
              </w:rPr>
              <w:t>Beszámolók készítése.</w:t>
            </w:r>
          </w:p>
        </w:tc>
        <w:tc>
          <w:tcPr>
            <w:tcW w:w="844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6EEC" w:rsidRPr="00AE065A" w:rsidTr="00DE64D5">
        <w:trPr>
          <w:trHeight w:val="794"/>
        </w:trPr>
        <w:tc>
          <w:tcPr>
            <w:tcW w:w="661" w:type="dxa"/>
            <w:vAlign w:val="center"/>
          </w:tcPr>
          <w:p w:rsidR="00A06EEC" w:rsidRPr="003B6C16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06EEC" w:rsidRPr="003B6C16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06EEC" w:rsidRDefault="00A06EEC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06EEC" w:rsidRPr="00636282" w:rsidRDefault="00A06EEC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Üzleti levél készítése. Étlapok készítése. </w:t>
            </w:r>
            <w:r w:rsidRPr="00A06EEC">
              <w:rPr>
                <w:sz w:val="20"/>
                <w:szCs w:val="20"/>
              </w:rPr>
              <w:t>Menükártyák készítése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6EEC" w:rsidRPr="00AE065A" w:rsidTr="00DE64D5">
        <w:trPr>
          <w:trHeight w:val="794"/>
        </w:trPr>
        <w:tc>
          <w:tcPr>
            <w:tcW w:w="661" w:type="dxa"/>
            <w:vAlign w:val="center"/>
          </w:tcPr>
          <w:p w:rsidR="00A06EEC" w:rsidRPr="003B6C16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06EEC" w:rsidRPr="003B6C16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06EEC" w:rsidRDefault="00A06EEC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06EEC" w:rsidRPr="00636282" w:rsidRDefault="00A06EEC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Szórólapok készítése. Internetes közösségi oldalak. </w:t>
            </w:r>
            <w:r w:rsidRPr="00A06EEC">
              <w:rPr>
                <w:sz w:val="20"/>
                <w:szCs w:val="20"/>
              </w:rPr>
              <w:t>Internetes marketing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06EEC" w:rsidRPr="00AE065A" w:rsidRDefault="00A06EEC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Tr="00DE64D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309FD" w:rsidRPr="003B6C16" w:rsidRDefault="00A309FD" w:rsidP="00097351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A309FD" w:rsidRPr="003B6C16" w:rsidRDefault="00E5798B" w:rsidP="00097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</w:t>
            </w:r>
          </w:p>
        </w:tc>
        <w:tc>
          <w:tcPr>
            <w:tcW w:w="4750" w:type="dxa"/>
            <w:vAlign w:val="center"/>
          </w:tcPr>
          <w:p w:rsidR="00A309FD" w:rsidRDefault="00A309FD" w:rsidP="008413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11537-16</w:t>
            </w:r>
          </w:p>
          <w:p w:rsidR="00A309FD" w:rsidRPr="00AE065A" w:rsidRDefault="00A309FD" w:rsidP="008413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Vendéglátó menedzsment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A309FD" w:rsidRPr="00AA2B5E" w:rsidRDefault="00A309FD" w:rsidP="00097351">
            <w:pPr>
              <w:jc w:val="center"/>
              <w:rPr>
                <w:b/>
              </w:rPr>
            </w:pPr>
          </w:p>
        </w:tc>
      </w:tr>
      <w:tr w:rsidR="00A309FD" w:rsidRPr="00163ED6" w:rsidTr="00DE64D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309FD" w:rsidRPr="00163ED6" w:rsidRDefault="00A309FD" w:rsidP="000973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A309FD" w:rsidRPr="00163ED6" w:rsidRDefault="00097351" w:rsidP="00097351">
            <w:pPr>
              <w:jc w:val="center"/>
              <w:rPr>
                <w:sz w:val="24"/>
                <w:szCs w:val="24"/>
              </w:rPr>
            </w:pPr>
            <w:r w:rsidRPr="00163ED6">
              <w:rPr>
                <w:sz w:val="24"/>
                <w:szCs w:val="24"/>
              </w:rPr>
              <w:t>64</w:t>
            </w:r>
          </w:p>
        </w:tc>
        <w:tc>
          <w:tcPr>
            <w:tcW w:w="4750" w:type="dxa"/>
            <w:vAlign w:val="center"/>
          </w:tcPr>
          <w:p w:rsidR="00A309FD" w:rsidRPr="00163ED6" w:rsidRDefault="00097351" w:rsidP="008413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ED6">
              <w:rPr>
                <w:sz w:val="24"/>
                <w:szCs w:val="24"/>
              </w:rPr>
              <w:t>Vendéglátás higiénéje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A309FD" w:rsidRPr="00163ED6" w:rsidRDefault="00A309FD" w:rsidP="000973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9FD" w:rsidTr="00DE64D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309FD" w:rsidRPr="003B6C16" w:rsidRDefault="00A309FD" w:rsidP="00097351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A309FD" w:rsidRPr="003B6C16" w:rsidRDefault="00097351" w:rsidP="00097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0" w:type="dxa"/>
            <w:vAlign w:val="center"/>
          </w:tcPr>
          <w:p w:rsidR="00A309FD" w:rsidRPr="00567BE7" w:rsidRDefault="00097351" w:rsidP="0084137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Higiénia a vendéglátásban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A309FD" w:rsidRPr="00AA2B5E" w:rsidRDefault="00A309FD" w:rsidP="00097351">
            <w:pPr>
              <w:jc w:val="center"/>
              <w:rPr>
                <w:b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DE64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64D5">
              <w:rPr>
                <w:sz w:val="20"/>
                <w:szCs w:val="20"/>
              </w:rPr>
              <w:t>Vendéglátó egység</w:t>
            </w:r>
            <w:r>
              <w:rPr>
                <w:sz w:val="20"/>
                <w:szCs w:val="20"/>
              </w:rPr>
              <w:t xml:space="preserve">ek telepítésének alapfeltételei. </w:t>
            </w:r>
            <w:r w:rsidRPr="00DE64D5">
              <w:rPr>
                <w:sz w:val="20"/>
                <w:szCs w:val="20"/>
              </w:rPr>
              <w:t>Környezetszennyezés nélküli építési terület, ivóvíz, s</w:t>
            </w:r>
            <w:r>
              <w:rPr>
                <w:sz w:val="20"/>
                <w:szCs w:val="20"/>
              </w:rPr>
              <w:t xml:space="preserve">zennyvízelvezetés követelményei. </w:t>
            </w:r>
            <w:r w:rsidRPr="00DE64D5">
              <w:rPr>
                <w:sz w:val="20"/>
                <w:szCs w:val="20"/>
              </w:rPr>
              <w:t>A helyiségek egyirányú kapcsolódása, tiszta és szennyezett öve</w:t>
            </w:r>
            <w:r>
              <w:rPr>
                <w:sz w:val="20"/>
                <w:szCs w:val="20"/>
              </w:rPr>
              <w:t xml:space="preserve">zetek kereszteződésének tilalma. </w:t>
            </w:r>
            <w:r w:rsidRPr="00DE64D5">
              <w:rPr>
                <w:sz w:val="20"/>
                <w:szCs w:val="20"/>
              </w:rPr>
              <w:t>Bejáratok kialakításának követelményei</w:t>
            </w:r>
            <w:r>
              <w:rPr>
                <w:sz w:val="20"/>
                <w:szCs w:val="20"/>
              </w:rPr>
              <w:t xml:space="preserve">. </w:t>
            </w:r>
            <w:r w:rsidRPr="00DE64D5">
              <w:rPr>
                <w:sz w:val="20"/>
                <w:szCs w:val="20"/>
              </w:rPr>
              <w:t>Raktárak kialakításának követelményei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DE64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64D5">
              <w:rPr>
                <w:sz w:val="20"/>
                <w:szCs w:val="20"/>
              </w:rPr>
              <w:t>Előkészítő helyiség</w:t>
            </w:r>
            <w:r>
              <w:rPr>
                <w:sz w:val="20"/>
                <w:szCs w:val="20"/>
              </w:rPr>
              <w:t xml:space="preserve">ek kialakításának követelményei. </w:t>
            </w:r>
            <w:r w:rsidRPr="00DE64D5">
              <w:rPr>
                <w:sz w:val="20"/>
                <w:szCs w:val="20"/>
              </w:rPr>
              <w:t>Konyhák, műhelyek kialakításának k</w:t>
            </w:r>
            <w:r>
              <w:rPr>
                <w:sz w:val="20"/>
                <w:szCs w:val="20"/>
              </w:rPr>
              <w:t xml:space="preserve">övetelményei. </w:t>
            </w:r>
            <w:r w:rsidRPr="00DE64D5">
              <w:rPr>
                <w:sz w:val="20"/>
                <w:szCs w:val="20"/>
              </w:rPr>
              <w:t>Mosogat</w:t>
            </w:r>
            <w:r>
              <w:rPr>
                <w:sz w:val="20"/>
                <w:szCs w:val="20"/>
              </w:rPr>
              <w:t xml:space="preserve">ók kialakításának követelményei. </w:t>
            </w:r>
            <w:r w:rsidRPr="00DE64D5">
              <w:rPr>
                <w:sz w:val="20"/>
                <w:szCs w:val="20"/>
              </w:rPr>
              <w:t>Vendégtér, szociális helyiség</w:t>
            </w:r>
            <w:r>
              <w:rPr>
                <w:sz w:val="20"/>
                <w:szCs w:val="20"/>
              </w:rPr>
              <w:t xml:space="preserve">ek kialakításának követelményei. Személyi higiénia. </w:t>
            </w:r>
            <w:r w:rsidRPr="00DE64D5">
              <w:rPr>
                <w:sz w:val="20"/>
                <w:szCs w:val="20"/>
              </w:rPr>
              <w:t>Test, munkaruha higiéniai előírásai, egészségügyi kiskönyv, érvényes orvosi alkalmassági vizsgálat igazolása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A309FD" w:rsidRDefault="00DE64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64D5">
              <w:rPr>
                <w:sz w:val="20"/>
                <w:szCs w:val="20"/>
              </w:rPr>
              <w:t>Vendéglátó tevékenység, élelmiszer</w:t>
            </w:r>
            <w:r>
              <w:rPr>
                <w:sz w:val="20"/>
                <w:szCs w:val="20"/>
              </w:rPr>
              <w:t xml:space="preserve"> előállítás személyi feltételei. </w:t>
            </w:r>
            <w:r w:rsidRPr="00DE64D5">
              <w:rPr>
                <w:sz w:val="20"/>
                <w:szCs w:val="20"/>
              </w:rPr>
              <w:t>Képzési, egészségügyi, szakmai és erkölcsi feltételek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7351" w:rsidTr="00DE64D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97351" w:rsidRPr="003B6C16" w:rsidRDefault="00097351" w:rsidP="00097351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097351" w:rsidRPr="003B6C16" w:rsidRDefault="00097351" w:rsidP="00097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50" w:type="dxa"/>
            <w:vAlign w:val="center"/>
          </w:tcPr>
          <w:p w:rsidR="00097351" w:rsidRPr="00567BE7" w:rsidRDefault="00097351" w:rsidP="0084137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Személyi higiénia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097351" w:rsidRPr="00AA2B5E" w:rsidRDefault="00097351" w:rsidP="00097351">
            <w:pPr>
              <w:jc w:val="center"/>
              <w:rPr>
                <w:b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A309FD" w:rsidRDefault="00DE64D5" w:rsidP="00E5798B">
            <w:pPr>
              <w:spacing w:line="276" w:lineRule="auto"/>
              <w:rPr>
                <w:sz w:val="20"/>
                <w:szCs w:val="20"/>
              </w:rPr>
            </w:pPr>
            <w:r w:rsidRPr="00DE64D5">
              <w:rPr>
                <w:sz w:val="20"/>
                <w:szCs w:val="20"/>
              </w:rPr>
              <w:t>Jelentősége az élelmiszerbiztonságban</w:t>
            </w:r>
            <w:r w:rsidR="00E5798B">
              <w:rPr>
                <w:sz w:val="20"/>
                <w:szCs w:val="20"/>
              </w:rPr>
              <w:t xml:space="preserve">. </w:t>
            </w:r>
            <w:r w:rsidRPr="00DE64D5">
              <w:rPr>
                <w:sz w:val="20"/>
                <w:szCs w:val="20"/>
              </w:rPr>
              <w:t>Személyi és tárgyi feltételek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Pr="00DE64D5" w:rsidRDefault="00DE64D5" w:rsidP="00E5798B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DE64D5">
              <w:rPr>
                <w:sz w:val="20"/>
                <w:szCs w:val="20"/>
              </w:rPr>
              <w:t>A kéz ápolása, tisztán tartása, a dolgozó helyes magatartása</w:t>
            </w:r>
            <w:r>
              <w:rPr>
                <w:sz w:val="20"/>
                <w:szCs w:val="20"/>
              </w:rPr>
              <w:t xml:space="preserve">. </w:t>
            </w:r>
            <w:r w:rsidRPr="00DE64D5">
              <w:rPr>
                <w:sz w:val="20"/>
                <w:szCs w:val="20"/>
              </w:rPr>
              <w:t>Védőruha, m</w:t>
            </w:r>
            <w:r>
              <w:rPr>
                <w:sz w:val="20"/>
                <w:szCs w:val="20"/>
              </w:rPr>
              <w:t xml:space="preserve">unkaruha használata, tisztítása. </w:t>
            </w:r>
            <w:r w:rsidRPr="00DE64D5">
              <w:rPr>
                <w:sz w:val="20"/>
                <w:szCs w:val="20"/>
              </w:rPr>
              <w:t>Betegségek, sérülések</w:t>
            </w:r>
            <w:r>
              <w:rPr>
                <w:sz w:val="20"/>
                <w:szCs w:val="20"/>
              </w:rPr>
              <w:t xml:space="preserve">. </w:t>
            </w:r>
            <w:r w:rsidRPr="00DE64D5">
              <w:rPr>
                <w:sz w:val="20"/>
                <w:szCs w:val="20"/>
              </w:rPr>
              <w:t>Egészségügyi alkalmasság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A309FD" w:rsidRDefault="00DE64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Látogatók, karbantartók. </w:t>
            </w:r>
            <w:r w:rsidRPr="00DE64D5">
              <w:rPr>
                <w:sz w:val="20"/>
                <w:szCs w:val="20"/>
              </w:rPr>
              <w:t>Helyes magatartás az élelmiszerkészítés, és tálalás során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7351" w:rsidTr="00DE64D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97351" w:rsidRPr="003B6C16" w:rsidRDefault="00097351" w:rsidP="00097351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097351" w:rsidRPr="003B6C16" w:rsidRDefault="00097351" w:rsidP="00097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50" w:type="dxa"/>
            <w:vAlign w:val="center"/>
          </w:tcPr>
          <w:p w:rsidR="00097351" w:rsidRPr="00567BE7" w:rsidRDefault="00097351" w:rsidP="0084137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HACCP, GHP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097351" w:rsidRPr="00AA2B5E" w:rsidRDefault="00097351" w:rsidP="00097351">
            <w:pPr>
              <w:jc w:val="center"/>
              <w:rPr>
                <w:b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A309FD" w:rsidRPr="00DE64D5" w:rsidRDefault="00DE64D5" w:rsidP="00E579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témakör részletes kifejtése. </w:t>
            </w:r>
            <w:r w:rsidRPr="00DE64D5">
              <w:rPr>
                <w:sz w:val="20"/>
                <w:szCs w:val="20"/>
              </w:rPr>
              <w:t>A HACCP minőségbiztosítási rendszer alapelvei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DE64D5" w:rsidP="00E5798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témakör részletes kifejtése. </w:t>
            </w:r>
            <w:r w:rsidRPr="00DE64D5">
              <w:rPr>
                <w:sz w:val="20"/>
                <w:szCs w:val="20"/>
              </w:rPr>
              <w:t>A HACCP minőségbiztosítási rendszer alapelvei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DE64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64D5">
              <w:rPr>
                <w:sz w:val="20"/>
                <w:szCs w:val="20"/>
              </w:rPr>
              <w:t>Nyersanyagok beszerzési, átvételi, tárolási, előkészítési követelményei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DE64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64D5">
              <w:rPr>
                <w:sz w:val="20"/>
                <w:szCs w:val="20"/>
              </w:rPr>
              <w:t>Üzemi,</w:t>
            </w:r>
            <w:r>
              <w:rPr>
                <w:sz w:val="20"/>
                <w:szCs w:val="20"/>
              </w:rPr>
              <w:t xml:space="preserve"> üzleti terméktárolás szabályai. </w:t>
            </w:r>
            <w:r w:rsidRPr="00DE64D5">
              <w:rPr>
                <w:sz w:val="20"/>
                <w:szCs w:val="20"/>
              </w:rPr>
              <w:t>Vendéglátó tevékenység környezetvédelmi előírásai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7351" w:rsidRPr="00163ED6" w:rsidTr="00DE64D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97351" w:rsidRPr="00163ED6" w:rsidRDefault="00097351" w:rsidP="000973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097351" w:rsidRPr="00163ED6" w:rsidRDefault="00D96940" w:rsidP="00097351">
            <w:pPr>
              <w:jc w:val="center"/>
              <w:rPr>
                <w:sz w:val="24"/>
                <w:szCs w:val="24"/>
              </w:rPr>
            </w:pPr>
            <w:r w:rsidRPr="00163ED6">
              <w:rPr>
                <w:sz w:val="24"/>
                <w:szCs w:val="24"/>
              </w:rPr>
              <w:t>160</w:t>
            </w:r>
          </w:p>
        </w:tc>
        <w:tc>
          <w:tcPr>
            <w:tcW w:w="4750" w:type="dxa"/>
            <w:vAlign w:val="center"/>
          </w:tcPr>
          <w:p w:rsidR="00097351" w:rsidRPr="00163ED6" w:rsidRDefault="00097351" w:rsidP="008413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3ED6">
              <w:rPr>
                <w:sz w:val="24"/>
                <w:szCs w:val="24"/>
              </w:rPr>
              <w:t>Szervezés és irányítás a vendéglátásban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097351" w:rsidRPr="00163ED6" w:rsidRDefault="00097351" w:rsidP="000973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7351" w:rsidTr="00DE64D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97351" w:rsidRPr="003B6C16" w:rsidRDefault="00097351" w:rsidP="00097351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097351" w:rsidRPr="003B6C16" w:rsidRDefault="00097351" w:rsidP="00097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50" w:type="dxa"/>
            <w:vAlign w:val="center"/>
          </w:tcPr>
          <w:p w:rsidR="00097351" w:rsidRPr="00567BE7" w:rsidRDefault="00097351" w:rsidP="0084137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Humánerőforrás-gazdálkodás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097351" w:rsidRPr="00AA2B5E" w:rsidRDefault="00097351" w:rsidP="00097351">
            <w:pPr>
              <w:jc w:val="center"/>
              <w:rPr>
                <w:b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DE64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64D5">
              <w:rPr>
                <w:sz w:val="20"/>
                <w:szCs w:val="20"/>
              </w:rPr>
              <w:t>Az üzlet működésé</w:t>
            </w:r>
            <w:r>
              <w:rPr>
                <w:sz w:val="20"/>
                <w:szCs w:val="20"/>
              </w:rPr>
              <w:t xml:space="preserve">nek személyi feltételrendszere. </w:t>
            </w:r>
            <w:r w:rsidRPr="00DE64D5">
              <w:rPr>
                <w:sz w:val="20"/>
                <w:szCs w:val="20"/>
              </w:rPr>
              <w:t>Az üzlet létszámának meghatározása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DE64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64D5">
              <w:rPr>
                <w:sz w:val="20"/>
                <w:szCs w:val="20"/>
              </w:rPr>
              <w:t>Munkakö</w:t>
            </w:r>
            <w:r>
              <w:rPr>
                <w:sz w:val="20"/>
                <w:szCs w:val="20"/>
              </w:rPr>
              <w:t xml:space="preserve">rök meghatározása. </w:t>
            </w:r>
            <w:r w:rsidRPr="00DE64D5">
              <w:rPr>
                <w:sz w:val="20"/>
                <w:szCs w:val="20"/>
              </w:rPr>
              <w:t>Munkaköri leírások készítése.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DE64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64D5">
              <w:rPr>
                <w:sz w:val="20"/>
                <w:szCs w:val="20"/>
              </w:rPr>
              <w:t>Munkaidő-beosztás készítése.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DE64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64D5">
              <w:rPr>
                <w:sz w:val="20"/>
                <w:szCs w:val="20"/>
              </w:rPr>
              <w:t>A dolgozók elszámoltatása.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DE64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64D5">
              <w:rPr>
                <w:sz w:val="20"/>
                <w:szCs w:val="20"/>
              </w:rPr>
              <w:t>Belső ellenőrzési feladatok.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7351" w:rsidTr="00DE64D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97351" w:rsidRPr="003B6C16" w:rsidRDefault="00097351" w:rsidP="00097351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097351" w:rsidRPr="003B6C16" w:rsidRDefault="00097351" w:rsidP="00097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50" w:type="dxa"/>
            <w:vAlign w:val="center"/>
          </w:tcPr>
          <w:p w:rsidR="00097351" w:rsidRPr="00567BE7" w:rsidRDefault="00097351" w:rsidP="0084137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 xml:space="preserve">Üzleti kapcsolatok 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097351" w:rsidRPr="00AA2B5E" w:rsidRDefault="00097351" w:rsidP="00097351">
            <w:pPr>
              <w:jc w:val="center"/>
              <w:rPr>
                <w:b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DE64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64D5">
              <w:rPr>
                <w:sz w:val="20"/>
                <w:szCs w:val="20"/>
              </w:rPr>
              <w:t>Hatósági ellenőrzések típusai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DE64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64D5">
              <w:rPr>
                <w:sz w:val="20"/>
                <w:szCs w:val="20"/>
              </w:rPr>
              <w:t>Felkészülés a hatósági ellenőrzésekre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DE64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64D5">
              <w:rPr>
                <w:sz w:val="20"/>
                <w:szCs w:val="20"/>
              </w:rPr>
              <w:t>Felkészülés a hatósági ellenőrzésekre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DE64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64D5">
              <w:rPr>
                <w:sz w:val="20"/>
                <w:szCs w:val="20"/>
              </w:rPr>
              <w:t>Az információs rendszerek típusai, kialakításuk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DE64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64D5">
              <w:rPr>
                <w:sz w:val="20"/>
                <w:szCs w:val="20"/>
              </w:rPr>
              <w:t>Minőségirányítási rendszer kidolgozása, működtetése és betartása/betartatása.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7351" w:rsidTr="00DE64D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97351" w:rsidRPr="003B6C16" w:rsidRDefault="00097351" w:rsidP="00097351">
            <w:pPr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097351" w:rsidRPr="003B6C16" w:rsidRDefault="00097351" w:rsidP="00097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50" w:type="dxa"/>
            <w:vAlign w:val="center"/>
          </w:tcPr>
          <w:p w:rsidR="00097351" w:rsidRPr="00567BE7" w:rsidRDefault="00097351" w:rsidP="00841378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Áruforgalmi folyamatok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097351" w:rsidRPr="00AA2B5E" w:rsidRDefault="00097351" w:rsidP="00097351">
            <w:pPr>
              <w:jc w:val="center"/>
              <w:rPr>
                <w:b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7950D5" w:rsidP="00E5798B">
            <w:pPr>
              <w:spacing w:line="276" w:lineRule="auto"/>
              <w:ind w:left="78"/>
              <w:rPr>
                <w:sz w:val="20"/>
                <w:szCs w:val="20"/>
              </w:rPr>
            </w:pPr>
            <w:r w:rsidRPr="007950D5">
              <w:rPr>
                <w:sz w:val="20"/>
                <w:szCs w:val="20"/>
              </w:rPr>
              <w:t>Külső-belső folyamatok elemzése.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7950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50D5">
              <w:rPr>
                <w:sz w:val="20"/>
                <w:szCs w:val="20"/>
              </w:rPr>
              <w:t>Az üzlet beszerzési tevékenysége.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7950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50D5">
              <w:rPr>
                <w:sz w:val="20"/>
                <w:szCs w:val="20"/>
              </w:rPr>
              <w:t>Az üzlet raktározási tevékenysége.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7950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50D5">
              <w:rPr>
                <w:sz w:val="20"/>
                <w:szCs w:val="20"/>
              </w:rPr>
              <w:t>Az üzlet termelési tevékenysége.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7950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50D5">
              <w:rPr>
                <w:sz w:val="20"/>
                <w:szCs w:val="20"/>
              </w:rPr>
              <w:t>Az üzlet értékesítési tevékenysége.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7950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50D5">
              <w:rPr>
                <w:sz w:val="20"/>
                <w:szCs w:val="20"/>
              </w:rPr>
              <w:t>Az üzlet választékának, árlapjának, árközlési eszközeinek elkészítése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7950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50D5">
              <w:rPr>
                <w:sz w:val="20"/>
                <w:szCs w:val="20"/>
              </w:rPr>
              <w:t>Az üzleten belüli és kívüli rendezvények megszervezése és lebonyolítása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7950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50D5">
              <w:rPr>
                <w:sz w:val="20"/>
                <w:szCs w:val="20"/>
              </w:rPr>
              <w:t>Az üzlet szolgáltatási tevékenységének lebonyolítása.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7950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50D5">
              <w:rPr>
                <w:sz w:val="20"/>
                <w:szCs w:val="20"/>
              </w:rPr>
              <w:t>Adminisztráció az üzletben: számvitel, adatszolgáltatás, nyilvántartási kötelezettség</w:t>
            </w:r>
            <w:r w:rsidR="00E5798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09FD" w:rsidRPr="00AE065A" w:rsidTr="00DE64D5">
        <w:trPr>
          <w:trHeight w:val="794"/>
        </w:trPr>
        <w:tc>
          <w:tcPr>
            <w:tcW w:w="661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309FD" w:rsidRPr="003B6C16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A309FD" w:rsidRDefault="00097351" w:rsidP="00A06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309FD" w:rsidRDefault="007950D5" w:rsidP="0084137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50D5">
              <w:rPr>
                <w:sz w:val="20"/>
                <w:szCs w:val="20"/>
              </w:rPr>
              <w:t>Adminisztráció az üzletben: számvitel, adatszolgáltatás, nyilvántartási kötelezettség</w:t>
            </w:r>
            <w:r w:rsidR="00E5798B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844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A309FD" w:rsidRPr="00AE065A" w:rsidRDefault="00A309FD" w:rsidP="00A06EE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F37618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26D" w:rsidRDefault="00AB726D" w:rsidP="00B2485D">
      <w:r>
        <w:separator/>
      </w:r>
    </w:p>
  </w:endnote>
  <w:endnote w:type="continuationSeparator" w:id="1">
    <w:p w:rsidR="00AB726D" w:rsidRDefault="00AB726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097351" w:rsidRDefault="00A240D2">
        <w:pPr>
          <w:pStyle w:val="llb"/>
          <w:jc w:val="center"/>
        </w:pPr>
        <w:r>
          <w:fldChar w:fldCharType="begin"/>
        </w:r>
        <w:r w:rsidR="00097351">
          <w:instrText>PAGE   \* MERGEFORMAT</w:instrText>
        </w:r>
        <w:r>
          <w:fldChar w:fldCharType="separate"/>
        </w:r>
        <w:r w:rsidR="00403BD1">
          <w:rPr>
            <w:noProof/>
          </w:rPr>
          <w:t>10</w:t>
        </w:r>
        <w:r>
          <w:fldChar w:fldCharType="end"/>
        </w:r>
      </w:p>
      <w:p w:rsidR="00097351" w:rsidRDefault="00097351" w:rsidP="00840500">
        <w:pPr>
          <w:pStyle w:val="llb"/>
          <w:jc w:val="center"/>
        </w:pPr>
        <w:r>
          <w:t>3581102.raep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26D" w:rsidRDefault="00AB726D" w:rsidP="00B2485D">
      <w:r>
        <w:separator/>
      </w:r>
    </w:p>
  </w:footnote>
  <w:footnote w:type="continuationSeparator" w:id="1">
    <w:p w:rsidR="00AB726D" w:rsidRDefault="00AB726D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51" w:rsidRPr="00340762" w:rsidRDefault="00097351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90A1B"/>
    <w:rsid w:val="00097351"/>
    <w:rsid w:val="000A46D8"/>
    <w:rsid w:val="000B3E0B"/>
    <w:rsid w:val="000B579E"/>
    <w:rsid w:val="000F58E8"/>
    <w:rsid w:val="001411B8"/>
    <w:rsid w:val="00163ED6"/>
    <w:rsid w:val="00164A00"/>
    <w:rsid w:val="00183A93"/>
    <w:rsid w:val="001A6CBA"/>
    <w:rsid w:val="001B188A"/>
    <w:rsid w:val="00264B0B"/>
    <w:rsid w:val="00285295"/>
    <w:rsid w:val="002B6D9D"/>
    <w:rsid w:val="002D22E1"/>
    <w:rsid w:val="002E6AD5"/>
    <w:rsid w:val="0031135A"/>
    <w:rsid w:val="00330B7C"/>
    <w:rsid w:val="00340762"/>
    <w:rsid w:val="0035197E"/>
    <w:rsid w:val="003A3CDC"/>
    <w:rsid w:val="003B6C16"/>
    <w:rsid w:val="003F3D20"/>
    <w:rsid w:val="00403BD1"/>
    <w:rsid w:val="004113FC"/>
    <w:rsid w:val="00416454"/>
    <w:rsid w:val="00424FB3"/>
    <w:rsid w:val="00467154"/>
    <w:rsid w:val="00495C3A"/>
    <w:rsid w:val="004B4D8F"/>
    <w:rsid w:val="004C7770"/>
    <w:rsid w:val="004F3AF4"/>
    <w:rsid w:val="00512211"/>
    <w:rsid w:val="00567BE7"/>
    <w:rsid w:val="005F1E25"/>
    <w:rsid w:val="00636282"/>
    <w:rsid w:val="006C591C"/>
    <w:rsid w:val="00703883"/>
    <w:rsid w:val="007950D5"/>
    <w:rsid w:val="007D195F"/>
    <w:rsid w:val="007E05E3"/>
    <w:rsid w:val="00840500"/>
    <w:rsid w:val="00841378"/>
    <w:rsid w:val="008621EF"/>
    <w:rsid w:val="008C0910"/>
    <w:rsid w:val="008F034E"/>
    <w:rsid w:val="008F0F65"/>
    <w:rsid w:val="008F4B8B"/>
    <w:rsid w:val="00911C88"/>
    <w:rsid w:val="00971AB4"/>
    <w:rsid w:val="009E2592"/>
    <w:rsid w:val="009F0791"/>
    <w:rsid w:val="00A01020"/>
    <w:rsid w:val="00A06EEC"/>
    <w:rsid w:val="00A240D2"/>
    <w:rsid w:val="00A309FD"/>
    <w:rsid w:val="00A87D59"/>
    <w:rsid w:val="00AA2B5E"/>
    <w:rsid w:val="00AB22E3"/>
    <w:rsid w:val="00AB726D"/>
    <w:rsid w:val="00AE065A"/>
    <w:rsid w:val="00B03D8D"/>
    <w:rsid w:val="00B2485D"/>
    <w:rsid w:val="00B3216B"/>
    <w:rsid w:val="00B543A3"/>
    <w:rsid w:val="00BF7A62"/>
    <w:rsid w:val="00C6286A"/>
    <w:rsid w:val="00CA663C"/>
    <w:rsid w:val="00D07254"/>
    <w:rsid w:val="00D11A9D"/>
    <w:rsid w:val="00D65667"/>
    <w:rsid w:val="00D93ACD"/>
    <w:rsid w:val="00D96940"/>
    <w:rsid w:val="00DC4068"/>
    <w:rsid w:val="00DD7EBB"/>
    <w:rsid w:val="00DE64D5"/>
    <w:rsid w:val="00DE6760"/>
    <w:rsid w:val="00DE6BB2"/>
    <w:rsid w:val="00E53C8A"/>
    <w:rsid w:val="00E5798B"/>
    <w:rsid w:val="00E86B1F"/>
    <w:rsid w:val="00EC7D80"/>
    <w:rsid w:val="00F22839"/>
    <w:rsid w:val="00F37618"/>
    <w:rsid w:val="00F64AD2"/>
    <w:rsid w:val="00FD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6715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67154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67154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67154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67154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67154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6715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6715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6715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67154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67154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1627</Words>
  <Characters>11228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2017-10-13T20:15:00Z</dcterms:created>
  <dcterms:modified xsi:type="dcterms:W3CDTF">2017-10-13T20:15:00Z</dcterms:modified>
</cp:coreProperties>
</file>