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80570" w:rsidRDefault="001E572A">
      <w:pPr>
        <w:jc w:val="center"/>
        <w:rPr>
          <w:b/>
          <w:sz w:val="40"/>
          <w:szCs w:val="40"/>
        </w:rPr>
      </w:pPr>
      <w:r w:rsidRPr="00CB6718">
        <w:rPr>
          <w:b/>
          <w:sz w:val="40"/>
          <w:szCs w:val="40"/>
        </w:rPr>
        <w:t>Járműfényező</w:t>
      </w:r>
    </w:p>
    <w:p w:rsidR="00061263" w:rsidRPr="00CB6718" w:rsidRDefault="00A36C73">
      <w:pPr>
        <w:jc w:val="center"/>
        <w:rPr>
          <w:b/>
          <w:sz w:val="40"/>
          <w:szCs w:val="40"/>
        </w:rPr>
      </w:pPr>
      <w:r w:rsidRPr="00CB6718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E572A">
        <w:rPr>
          <w:sz w:val="28"/>
          <w:szCs w:val="28"/>
        </w:rPr>
        <w:t>3</w:t>
      </w:r>
      <w:r w:rsidR="00553EE7">
        <w:rPr>
          <w:sz w:val="28"/>
          <w:szCs w:val="28"/>
        </w:rPr>
        <w:t>4</w:t>
      </w:r>
      <w:r w:rsidR="0028461B">
        <w:rPr>
          <w:sz w:val="28"/>
          <w:szCs w:val="28"/>
        </w:rPr>
        <w:t xml:space="preserve"> </w:t>
      </w:r>
      <w:r w:rsidR="001E572A">
        <w:rPr>
          <w:sz w:val="28"/>
          <w:szCs w:val="28"/>
        </w:rPr>
        <w:t>525 03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C54D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C54D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C54D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C54D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C54D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C54D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C54D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C54D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7"/>
        <w:gridCol w:w="845"/>
        <w:gridCol w:w="924"/>
        <w:gridCol w:w="1377"/>
      </w:tblGrid>
      <w:tr w:rsidR="00090A1B" w:rsidRPr="009B6659" w:rsidTr="00244D8E">
        <w:trPr>
          <w:trHeight w:val="321"/>
          <w:tblHeader/>
        </w:trPr>
        <w:tc>
          <w:tcPr>
            <w:tcW w:w="2280" w:type="dxa"/>
            <w:gridSpan w:val="3"/>
          </w:tcPr>
          <w:p w:rsidR="00090A1B" w:rsidRPr="00D902B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D902B9">
              <w:rPr>
                <w:b/>
              </w:rPr>
              <w:t>Foglalkozás</w:t>
            </w:r>
          </w:p>
        </w:tc>
        <w:tc>
          <w:tcPr>
            <w:tcW w:w="4747" w:type="dxa"/>
            <w:vMerge w:val="restart"/>
            <w:vAlign w:val="center"/>
          </w:tcPr>
          <w:p w:rsidR="00C6286A" w:rsidRPr="00980570" w:rsidRDefault="00512211" w:rsidP="00980570">
            <w:pPr>
              <w:spacing w:line="276" w:lineRule="auto"/>
              <w:jc w:val="center"/>
              <w:rPr>
                <w:b/>
              </w:rPr>
            </w:pPr>
            <w:r w:rsidRPr="009B6659">
              <w:rPr>
                <w:b/>
              </w:rPr>
              <w:t>Modul/</w:t>
            </w:r>
            <w:r w:rsidR="00090A1B" w:rsidRPr="009B6659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9B6659"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9B6659">
              <w:rPr>
                <w:b/>
              </w:rPr>
              <w:t>Hiány-</w:t>
            </w:r>
          </w:p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9B6659">
              <w:rPr>
                <w:b/>
              </w:rPr>
              <w:t>zik</w:t>
            </w:r>
          </w:p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9B6659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9B6659">
              <w:rPr>
                <w:b/>
              </w:rPr>
              <w:t>Aláírás</w:t>
            </w:r>
          </w:p>
        </w:tc>
      </w:tr>
      <w:tr w:rsidR="00090A1B" w:rsidRPr="009B6659" w:rsidTr="00244D8E">
        <w:trPr>
          <w:trHeight w:val="411"/>
          <w:tblHeader/>
        </w:trPr>
        <w:tc>
          <w:tcPr>
            <w:tcW w:w="660" w:type="dxa"/>
            <w:vAlign w:val="center"/>
          </w:tcPr>
          <w:p w:rsidR="00090A1B" w:rsidRPr="00D902B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D902B9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D902B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D902B9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D902B9" w:rsidRDefault="00090A1B" w:rsidP="00D902B9">
            <w:pPr>
              <w:spacing w:line="276" w:lineRule="auto"/>
              <w:jc w:val="center"/>
              <w:rPr>
                <w:b/>
              </w:rPr>
            </w:pPr>
            <w:r w:rsidRPr="00D902B9">
              <w:rPr>
                <w:b/>
              </w:rPr>
              <w:t>Óra</w:t>
            </w:r>
          </w:p>
        </w:tc>
        <w:tc>
          <w:tcPr>
            <w:tcW w:w="4747" w:type="dxa"/>
            <w:vMerge/>
          </w:tcPr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9B6659" w:rsidRDefault="00090A1B" w:rsidP="00D902B9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B29" w:rsidRPr="009B6659" w:rsidTr="0028461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D0B29" w:rsidRPr="00D902B9" w:rsidRDefault="00DD0B2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D0B29" w:rsidRPr="00D902B9" w:rsidRDefault="00DD0B29" w:rsidP="002121C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7" w:type="dxa"/>
            <w:vAlign w:val="center"/>
          </w:tcPr>
          <w:p w:rsidR="00DD0B29" w:rsidRPr="00DD0B29" w:rsidRDefault="00DD0B29" w:rsidP="002121C5">
            <w:pPr>
              <w:spacing w:line="276" w:lineRule="auto"/>
              <w:jc w:val="center"/>
              <w:rPr>
                <w:b/>
                <w:sz w:val="28"/>
              </w:rPr>
            </w:pPr>
            <w:r w:rsidRPr="00DD0B29">
              <w:rPr>
                <w:b/>
                <w:sz w:val="28"/>
              </w:rPr>
              <w:t>10163-12</w:t>
            </w:r>
          </w:p>
          <w:p w:rsidR="00DD0B29" w:rsidRPr="00DD0B29" w:rsidRDefault="00DD0B29" w:rsidP="002121C5">
            <w:pPr>
              <w:spacing w:line="276" w:lineRule="auto"/>
              <w:jc w:val="center"/>
              <w:rPr>
                <w:b/>
                <w:sz w:val="28"/>
              </w:rPr>
            </w:pPr>
            <w:r w:rsidRPr="00DD0B29">
              <w:rPr>
                <w:b/>
                <w:sz w:val="28"/>
              </w:rPr>
              <w:t>Gépészeti munkabiztonság és környezetvédelem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D0B29" w:rsidRPr="009B6659" w:rsidRDefault="00DD0B2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B29" w:rsidRPr="002121C5" w:rsidTr="0028461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D0B29" w:rsidRPr="002121C5" w:rsidRDefault="00DD0B29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D0B29" w:rsidRPr="002121C5" w:rsidRDefault="00DD0B29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sz w:val="24"/>
                <w:szCs w:val="24"/>
              </w:rPr>
              <w:t>18</w:t>
            </w:r>
          </w:p>
        </w:tc>
        <w:tc>
          <w:tcPr>
            <w:tcW w:w="4747" w:type="dxa"/>
            <w:vAlign w:val="center"/>
          </w:tcPr>
          <w:p w:rsidR="00DD0B29" w:rsidRPr="002121C5" w:rsidRDefault="00DD0B29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D0B29" w:rsidRPr="002121C5" w:rsidRDefault="00DD0B29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D0B2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D0B29" w:rsidRPr="00D902B9" w:rsidRDefault="00DD0B2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D0B29" w:rsidRPr="00D902B9" w:rsidRDefault="00DD0B2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  <w:vAlign w:val="center"/>
          </w:tcPr>
          <w:p w:rsidR="00DD0B29" w:rsidRPr="00DD0B29" w:rsidRDefault="00DD0B29" w:rsidP="002121C5">
            <w:pPr>
              <w:spacing w:line="276" w:lineRule="auto"/>
              <w:jc w:val="center"/>
              <w:rPr>
                <w:sz w:val="20"/>
              </w:rPr>
            </w:pPr>
            <w:r w:rsidRPr="00DD0B29">
              <w:rPr>
                <w:sz w:val="20"/>
              </w:rPr>
              <w:t>Elsősegélynyújtás törések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D0B29" w:rsidRPr="009B6659" w:rsidRDefault="00DD0B2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</w:tcPr>
          <w:p w:rsidR="00326079" w:rsidRPr="00DD0B29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 nagyságának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Az ellátás lehetséges módjai, eszközei</w:t>
            </w:r>
            <w:r w:rsidR="00870A5F">
              <w:rPr>
                <w:sz w:val="20"/>
                <w:szCs w:val="20"/>
              </w:rPr>
              <w:t>.</w:t>
            </w:r>
          </w:p>
          <w:p w:rsidR="00326079" w:rsidRPr="00DD0B29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Zárt</w:t>
            </w:r>
            <w:r w:rsidR="00870A5F">
              <w:rPr>
                <w:sz w:val="20"/>
                <w:szCs w:val="20"/>
              </w:rPr>
              <w:t xml:space="preserve"> törések és ficamok elsősegélye. </w:t>
            </w:r>
            <w:r w:rsidRPr="00DD0B29">
              <w:rPr>
                <w:sz w:val="20"/>
                <w:szCs w:val="20"/>
              </w:rPr>
              <w:t>A sérült rész megnyugtatása, a beteg megtámasztása</w:t>
            </w:r>
            <w:r w:rsidR="00870A5F"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Szoros ruhák, ékszerek végtagokról történő eltávolítása</w:t>
            </w:r>
            <w:r w:rsidR="00870A5F"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Sérült végtag megemelése lehetőségekhez képest</w:t>
            </w:r>
            <w:r w:rsidR="00870A5F">
              <w:rPr>
                <w:sz w:val="20"/>
                <w:szCs w:val="20"/>
              </w:rPr>
              <w:t>.</w:t>
            </w:r>
          </w:p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Nyílt törések elsősegélye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Sérült testrészek megtartása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Vérzéscsökkentés steril gézlapokkal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Sérülés környékének kipárnázása, elfedése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Sebfedés átkötése a vérkeringés biztosítása mellett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Mentők értesítése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Jelentési és adminisztrációs kötelezettségek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  <w:vAlign w:val="center"/>
          </w:tcPr>
          <w:p w:rsidR="00326079" w:rsidRPr="00DD0B29" w:rsidRDefault="00326079" w:rsidP="002121C5">
            <w:pPr>
              <w:spacing w:line="276" w:lineRule="auto"/>
              <w:jc w:val="center"/>
              <w:rPr>
                <w:sz w:val="20"/>
              </w:rPr>
            </w:pPr>
            <w:r w:rsidRPr="00DD0B29">
              <w:rPr>
                <w:sz w:val="20"/>
              </w:rPr>
              <w:t>Elsősegélynyújtás vérzések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 nagyságának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Az ellátás lehetséges módjai, eszközei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artériás vérzés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vénás vérzés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hajszáleres vérzés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Belső vérzés felismerése, az ellátás teendői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Orrvérzés ellátásának folyamata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szájból történő vérzés ellátásának folyamata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csonkolásos vérzéses sérülés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Jelentési és adminisztrációs kötelezettségek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 nagyságának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Az ellátás lehetséges módjai, eszközei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artériás vérzés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vénás vérzés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hajszáleres vérzés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Belső vérzés felismerése, az ellátás teendői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Orrvérzés ellátásának folyamata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szájból történő vérzés ellátásának folyamata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Ellátás folyamata csonkolásos vérzéses sérülés esetén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Jelentési és adminisztrációs kötelezettségek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  <w:vAlign w:val="center"/>
          </w:tcPr>
          <w:p w:rsidR="00326079" w:rsidRPr="00DD0B29" w:rsidRDefault="00326079" w:rsidP="002121C5">
            <w:pPr>
              <w:spacing w:line="276" w:lineRule="auto"/>
              <w:jc w:val="center"/>
              <w:rPr>
                <w:sz w:val="20"/>
              </w:rPr>
            </w:pPr>
            <w:r w:rsidRPr="00DD0B29">
              <w:rPr>
                <w:sz w:val="20"/>
              </w:rPr>
              <w:t>Elsősegélynyújtás egyéb sérülések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 nagyságának helyének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Az ellátás lehetséges módjai, eszközei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Teendők az áramforrással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Vá</w:t>
            </w:r>
            <w:r>
              <w:rPr>
                <w:sz w:val="20"/>
                <w:szCs w:val="20"/>
              </w:rPr>
              <w:t xml:space="preserve">gásos sérülések ellátása. </w:t>
            </w:r>
            <w:r w:rsidRPr="00DD0B29">
              <w:rPr>
                <w:sz w:val="20"/>
                <w:szCs w:val="20"/>
              </w:rPr>
              <w:t>Égési sérülések ellátása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Mérgezés okozta sérülések ellátása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Szemsérülések ellátása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Mentők értesítése, az értesítés információtartalma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Jelentési és adminisztrációs kötelezettségek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 sérülés nagyságának helyének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Az ellátás lehetséges módjai, eszközei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Teendők az áramforrással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Vá</w:t>
            </w:r>
            <w:r>
              <w:rPr>
                <w:sz w:val="20"/>
                <w:szCs w:val="20"/>
              </w:rPr>
              <w:t xml:space="preserve">gásos sérülések ellátása. </w:t>
            </w:r>
            <w:r w:rsidRPr="00DD0B29">
              <w:rPr>
                <w:sz w:val="20"/>
                <w:szCs w:val="20"/>
              </w:rPr>
              <w:t>Égési sérülések ellátása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Mérgezés okozta sérülések ellátása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Szemsérülések ellátása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Mentők értesítése, az értesítés információtartalma</w:t>
            </w:r>
            <w:r>
              <w:rPr>
                <w:sz w:val="20"/>
                <w:szCs w:val="20"/>
              </w:rPr>
              <w:t xml:space="preserve">. </w:t>
            </w:r>
            <w:r w:rsidRPr="00DD0B29">
              <w:rPr>
                <w:sz w:val="20"/>
                <w:szCs w:val="20"/>
              </w:rPr>
              <w:t>Jelentési és adminisztrációs kötelezettségek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8"/>
              </w:rPr>
            </w:pPr>
            <w:r w:rsidRPr="00D902B9">
              <w:rPr>
                <w:sz w:val="28"/>
              </w:rPr>
              <w:t>252</w:t>
            </w:r>
          </w:p>
        </w:tc>
        <w:tc>
          <w:tcPr>
            <w:tcW w:w="4747" w:type="dxa"/>
            <w:vAlign w:val="center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  <w:sz w:val="28"/>
              </w:rPr>
            </w:pPr>
            <w:r w:rsidRPr="009B6659">
              <w:rPr>
                <w:b/>
                <w:sz w:val="28"/>
              </w:rPr>
              <w:t>10482-12</w:t>
            </w:r>
          </w:p>
          <w:p w:rsidR="00326079" w:rsidRPr="009B6659" w:rsidRDefault="00326079" w:rsidP="002121C5">
            <w:pPr>
              <w:spacing w:line="276" w:lineRule="auto"/>
              <w:jc w:val="center"/>
            </w:pPr>
            <w:r w:rsidRPr="009B6659">
              <w:rPr>
                <w:b/>
                <w:sz w:val="28"/>
              </w:rPr>
              <w:t>Járműfényező feladatai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2121C5" w:rsidTr="0028461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26079" w:rsidRPr="002121C5" w:rsidRDefault="00326079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26079" w:rsidRPr="002121C5" w:rsidRDefault="00326079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sz w:val="24"/>
                <w:szCs w:val="24"/>
              </w:rPr>
              <w:t>252</w:t>
            </w:r>
          </w:p>
        </w:tc>
        <w:tc>
          <w:tcPr>
            <w:tcW w:w="4747" w:type="dxa"/>
            <w:vAlign w:val="center"/>
          </w:tcPr>
          <w:p w:rsidR="00326079" w:rsidRPr="002121C5" w:rsidRDefault="00326079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sz w:val="24"/>
                <w:szCs w:val="24"/>
              </w:rPr>
              <w:t>A felület-előkészítés, fényezés gyakorlata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26079" w:rsidRPr="002121C5" w:rsidRDefault="00326079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72</w:t>
            </w:r>
          </w:p>
        </w:tc>
        <w:tc>
          <w:tcPr>
            <w:tcW w:w="4747" w:type="dxa"/>
            <w:vAlign w:val="center"/>
          </w:tcPr>
          <w:p w:rsidR="00326079" w:rsidRPr="00527501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Kittelés előtti felület előkészítések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A régi festékrétegek eltávolítása</w:t>
            </w:r>
            <w:r w:rsidR="00870A5F">
              <w:rPr>
                <w:sz w:val="20"/>
                <w:szCs w:val="20"/>
              </w:rPr>
              <w:t>.</w:t>
            </w:r>
          </w:p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A régi bevonatok mechanikai módszerekkel történő eltávolítása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A régi bevonatok vegyi és kombinált módszerekkel történő eltávolítása</w:t>
            </w:r>
            <w:r w:rsidR="00870A5F">
              <w:rPr>
                <w:sz w:val="20"/>
                <w:szCs w:val="20"/>
              </w:rPr>
              <w:t>.</w:t>
            </w:r>
          </w:p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A régi bevonatok leégetéssel történő eltávolítása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D0B29">
              <w:rPr>
                <w:sz w:val="20"/>
                <w:szCs w:val="20"/>
              </w:rPr>
              <w:t>Rozsdamechanikus úton történő eltávolítása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A felület oxid</w:t>
            </w:r>
            <w:bookmarkStart w:id="0" w:name="_GoBack"/>
            <w:bookmarkEnd w:id="0"/>
            <w:r w:rsidRPr="00527501">
              <w:rPr>
                <w:sz w:val="20"/>
                <w:szCs w:val="20"/>
              </w:rPr>
              <w:t>mentesítése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Mechanikai oxidmentesítő eljárások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  <w:vAlign w:val="center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i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Vegyi oxidmentesítő eljárások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Öregítés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Savas maratás (pácolás)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Sósavas maratás (pácolás)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Kénsavas maratás (pácolás)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Foszforsavas maratás (pácolás)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Elektrolitikus pácolás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Oxidmentesítés vegyi rozsda-átalakítókkal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36</w:t>
            </w:r>
          </w:p>
        </w:tc>
        <w:tc>
          <w:tcPr>
            <w:tcW w:w="4747" w:type="dxa"/>
            <w:vAlign w:val="center"/>
          </w:tcPr>
          <w:p w:rsidR="00326079" w:rsidRPr="00527501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Kittfelhordások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Kittelő anyagok felhasználásra történő előkészítése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Javított felületre kitt felhordása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Üvegszál erősítésű poliészter kitt felhordása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Simító kittelés végzése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Szóró kittelés anyagának előkészítése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  <w:shd w:val="clear" w:color="auto" w:fill="FFFFFF"/>
              </w:rPr>
              <w:t>Szóró kittelés végzése</w:t>
            </w:r>
            <w:r w:rsidR="00870A5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36</w:t>
            </w:r>
          </w:p>
        </w:tc>
        <w:tc>
          <w:tcPr>
            <w:tcW w:w="4747" w:type="dxa"/>
            <w:vAlign w:val="center"/>
          </w:tcPr>
          <w:p w:rsidR="00326079" w:rsidRPr="00527501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Kittcsiszolások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Kittcsiszolás technológiája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Kittelt felület csiszolása, egyenetlenségek, karcmentességek ellenőrzése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Kittelt felületek csiszolása, majd tisztítása (zsírtalanítás, portalanítás)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Szórókittelt felületek csiszolása, majd tisztítása (zsírtalanítás, portalanítás)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32607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607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Csiszolási technológiák elsajátítása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32607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6079">
              <w:rPr>
                <w:sz w:val="20"/>
                <w:szCs w:val="20"/>
              </w:rPr>
              <w:t>1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Csiszolási technológiák elsajátítása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36</w:t>
            </w:r>
          </w:p>
        </w:tc>
        <w:tc>
          <w:tcPr>
            <w:tcW w:w="4747" w:type="dxa"/>
            <w:vAlign w:val="center"/>
          </w:tcPr>
          <w:p w:rsidR="00326079" w:rsidRPr="00527501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Előkészítő, díszítő technológiák alkalmazása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Oxidmentesítés (csiszolás, vagy szemcseszórás)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Felületek tisztítása (zsír- és pormentesítés)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Fényezendő felületek csiszolása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Csiszolt felületek zsírtalanítása, szilikonmentesítése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Fém- és műanyag felületek fényezésre történő előkészítése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Melléfényezéshez felületek előkészítése (tisztítás, csiszolás, mattítás, fémre kopott felületek szigetelése)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36</w:t>
            </w:r>
          </w:p>
        </w:tc>
        <w:tc>
          <w:tcPr>
            <w:tcW w:w="4747" w:type="dxa"/>
            <w:vAlign w:val="center"/>
          </w:tcPr>
          <w:p w:rsidR="00326079" w:rsidRPr="00527501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Kőfelverődés elleni és üregvédelmi technológiák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Korróziós károk és azok megakadályozásának módjai technológiák begyakorlása és alkalmazása, a technológiák alkalmazása során használt szerszámok, anyagok készség szintű használata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Korróziós károk és azok megakadályozásának módjai technológiák begyakorlása és alkalmazása, a technológiák alkalmazása során használt szerszámok, anyagok készség szintű használata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Korróziós károk és azok megakadályozásának módjai technológiák begyakorlása és alkalmazása, a technológiák alkalmazása során használt szerszámok, anyagok készség szintű használata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Kőfelverődés elleni védelem technológiák begyakorlása és alkalmazása, a technológiák alkalmazása során használt szerszámok, anyagok készség szintű használata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Kőfelverődés elleni védelem technológiák begyakorlása és alkalmazása, a technológiák alkalmazása során használt szerszámok, anyagok készség szintű használata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Kőfelverődés elleni védelem technológiák begyakorlása és alkalmazása, a technológiák alkalmazása során használt szerszámok, anyagok készség szintű használata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36</w:t>
            </w:r>
          </w:p>
        </w:tc>
        <w:tc>
          <w:tcPr>
            <w:tcW w:w="4747" w:type="dxa"/>
            <w:vAlign w:val="center"/>
          </w:tcPr>
          <w:p w:rsidR="00326079" w:rsidRPr="00527501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Karbantartási műveletek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A járműfényezés kézi és gépi szerszámai karbantartási ismereteinek elsajátítása, a karbantartások elvégzése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A járműfényezés kézi és gépi szerszámai karbantartási ismereteinek elsajátítása, a karbantartások elvégzése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567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Járműfényezéshez használt kisgépek (csiszoló, szóró, UV, hőlégfúvó) karbantartási ismereteinek elsajátítása, a karbantartások elvégzése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Kéziszerszámok, csiszológépek karbantartása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02B9"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Szórópisztoly tisztít</w:t>
            </w:r>
            <w:r>
              <w:rPr>
                <w:sz w:val="20"/>
                <w:szCs w:val="20"/>
              </w:rPr>
              <w:t>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6079" w:rsidRPr="009B6659" w:rsidTr="00980570">
        <w:trPr>
          <w:trHeight w:val="794"/>
        </w:trPr>
        <w:tc>
          <w:tcPr>
            <w:tcW w:w="660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26079" w:rsidRPr="00D902B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6079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7" w:type="dxa"/>
          </w:tcPr>
          <w:p w:rsidR="00326079" w:rsidRPr="00527501" w:rsidRDefault="00326079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501">
              <w:rPr>
                <w:sz w:val="20"/>
                <w:szCs w:val="20"/>
              </w:rPr>
              <w:t>Levegőhálózat karbantartási ismereteinek elsajátítása, a karbantartások elvégzése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26079" w:rsidRPr="009B6659" w:rsidRDefault="0032607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8461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C206C7" w:rsidRDefault="002916F0" w:rsidP="002121C5">
            <w:pPr>
              <w:spacing w:line="276" w:lineRule="auto"/>
              <w:jc w:val="center"/>
              <w:rPr>
                <w:b/>
                <w:sz w:val="28"/>
              </w:rPr>
            </w:pPr>
            <w:r w:rsidRPr="00C206C7">
              <w:rPr>
                <w:b/>
                <w:sz w:val="28"/>
              </w:rPr>
              <w:t>36</w:t>
            </w:r>
          </w:p>
        </w:tc>
        <w:tc>
          <w:tcPr>
            <w:tcW w:w="4747" w:type="dxa"/>
            <w:vAlign w:val="center"/>
          </w:tcPr>
          <w:p w:rsidR="002916F0" w:rsidRPr="002916F0" w:rsidRDefault="002916F0" w:rsidP="002121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6F0">
              <w:rPr>
                <w:b/>
                <w:sz w:val="28"/>
                <w:szCs w:val="28"/>
              </w:rPr>
              <w:t>10483-12</w:t>
            </w:r>
          </w:p>
          <w:p w:rsidR="002916F0" w:rsidRPr="009B6659" w:rsidRDefault="002916F0" w:rsidP="002121C5">
            <w:pPr>
              <w:spacing w:line="276" w:lineRule="auto"/>
              <w:jc w:val="center"/>
            </w:pPr>
            <w:r w:rsidRPr="002916F0">
              <w:rPr>
                <w:b/>
                <w:sz w:val="28"/>
                <w:szCs w:val="28"/>
              </w:rPr>
              <w:t>Általános vállalkozási feladatok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2121C5" w:rsidTr="0028461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sz w:val="24"/>
                <w:szCs w:val="24"/>
              </w:rPr>
              <w:t>36</w:t>
            </w:r>
          </w:p>
        </w:tc>
        <w:tc>
          <w:tcPr>
            <w:tcW w:w="4747" w:type="dxa"/>
            <w:vAlign w:val="center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bCs/>
                <w:sz w:val="24"/>
                <w:szCs w:val="24"/>
              </w:rPr>
              <w:t>A vállalkozás gyakorlata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6F0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7" w:type="dxa"/>
            <w:vAlign w:val="center"/>
          </w:tcPr>
          <w:p w:rsidR="002916F0" w:rsidRPr="002916F0" w:rsidRDefault="002916F0" w:rsidP="002121C5">
            <w:pPr>
              <w:spacing w:line="276" w:lineRule="auto"/>
              <w:jc w:val="center"/>
              <w:rPr>
                <w:sz w:val="20"/>
              </w:rPr>
            </w:pPr>
            <w:r w:rsidRPr="002916F0">
              <w:rPr>
                <w:sz w:val="20"/>
              </w:rPr>
              <w:t>Marketing tevékenység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7" w:type="dxa"/>
          </w:tcPr>
          <w:p w:rsidR="002916F0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Saját tevékenység részletes ismerete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Hirdetési formák kidolgozása, közzét</w:t>
            </w:r>
            <w:r>
              <w:rPr>
                <w:sz w:val="20"/>
                <w:szCs w:val="20"/>
              </w:rPr>
              <w:t>ételi lehetőségek meghatározása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567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</w:tcPr>
          <w:p w:rsidR="002916F0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Közzétételi lehetőségek kivitelezéséhez megvalósítási lépések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Szakkiállításokon történő részvétel fontossága, a megjelenési design kialakítása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Szakvásárokon való részvétel, fontossága, a minőségi megjelenés fogalma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Sikeres vállalkozáshoz szükséges információforrások fellelése (internet, közvélemény kutatás, szakfolyóiratok, üzem és gyárlátogatások, fel</w:t>
            </w:r>
            <w:r w:rsidR="00212240">
              <w:rPr>
                <w:sz w:val="20"/>
                <w:szCs w:val="20"/>
              </w:rPr>
              <w:t xml:space="preserve">mérések készítése, piackutatás </w:t>
            </w:r>
            <w:r w:rsidRPr="002C3C80">
              <w:rPr>
                <w:sz w:val="20"/>
                <w:szCs w:val="20"/>
              </w:rPr>
              <w:t>stb.)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8461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7" w:type="dxa"/>
            <w:vAlign w:val="center"/>
          </w:tcPr>
          <w:p w:rsidR="002916F0" w:rsidRPr="002916F0" w:rsidRDefault="002916F0" w:rsidP="002121C5">
            <w:pPr>
              <w:spacing w:line="276" w:lineRule="auto"/>
              <w:jc w:val="center"/>
              <w:rPr>
                <w:sz w:val="20"/>
              </w:rPr>
            </w:pPr>
            <w:r w:rsidRPr="002916F0">
              <w:rPr>
                <w:sz w:val="20"/>
              </w:rPr>
              <w:t>Kapcsolattartási gyakorlatok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7" w:type="dxa"/>
          </w:tcPr>
          <w:p w:rsidR="002916F0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Kapcsolattartás formáinak ismerete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759" w:rsidRPr="009B6659" w:rsidTr="00980570">
        <w:trPr>
          <w:trHeight w:val="567"/>
        </w:trPr>
        <w:tc>
          <w:tcPr>
            <w:tcW w:w="660" w:type="dxa"/>
            <w:vAlign w:val="center"/>
          </w:tcPr>
          <w:p w:rsidR="00F66759" w:rsidRPr="00D902B9" w:rsidRDefault="00F6675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6759" w:rsidRPr="00D902B9" w:rsidRDefault="00F6675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66759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F66759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Kapcsolattartás írásban, a kapcsolattartás dokumentumainak formája, tartalma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Kapcsolattartás szóban, hivatalos, személyes, baráti kapcsolattartási formák, ezek használatának megválasztása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Egyéb kommunikációs csatornákon keresztül történő kapcsolattartás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Alapvető kommunikációs gyakorlatok végzése, begyakorlása (pl. reklamáció intézése a garanciális feltételek figyelembevételével, üzl</w:t>
            </w:r>
            <w:r w:rsidR="00212240">
              <w:rPr>
                <w:sz w:val="20"/>
                <w:szCs w:val="20"/>
              </w:rPr>
              <w:t xml:space="preserve">eti kapcsolatépítő megbeszélés </w:t>
            </w:r>
            <w:r w:rsidRPr="002C3C80">
              <w:rPr>
                <w:sz w:val="20"/>
                <w:szCs w:val="20"/>
              </w:rPr>
              <w:t>stb.)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6759" w:rsidRPr="009B6659" w:rsidRDefault="00F6675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F66759" w:rsidRPr="009B6659" w:rsidRDefault="00F66759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66759" w:rsidRPr="009B6659" w:rsidRDefault="00F66759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567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7" w:type="dxa"/>
          </w:tcPr>
          <w:p w:rsidR="002916F0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Alapvető kommunikációs gyakorlatok végzése, begyakorlása (pl. reklamáció intézése a garanciális feltételek figyelembevételével, üzleti kapcsolatépítő megbeszélés stb.)</w:t>
            </w:r>
            <w:r w:rsidR="00870A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1224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47" w:type="dxa"/>
            <w:vAlign w:val="center"/>
          </w:tcPr>
          <w:p w:rsidR="002916F0" w:rsidRPr="002916F0" w:rsidRDefault="002916F0" w:rsidP="002121C5">
            <w:pPr>
              <w:spacing w:line="276" w:lineRule="auto"/>
              <w:jc w:val="center"/>
              <w:rPr>
                <w:sz w:val="20"/>
              </w:rPr>
            </w:pPr>
            <w:r w:rsidRPr="002916F0">
              <w:rPr>
                <w:sz w:val="20"/>
              </w:rPr>
              <w:t>Dokumentumok kitöltése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7" w:type="dxa"/>
          </w:tcPr>
          <w:p w:rsidR="002916F0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Számlaformátumok megismerése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A készpénzes számlatömb felépítése, nyomtatványtípusa, sorszámozása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567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A készpénzes számlatömbben található információk fontossága, tartalmi irányultsága (a számlakibocsátó, a vevő adatai, a számlázott termék vagy szolgáltatás adatai, dátumok)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Az átutalásos számlatömb felépítése, nyomtatványtípusa, sorszámozása, példányszáma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567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F66759" w:rsidP="002121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7" w:type="dxa"/>
          </w:tcPr>
          <w:p w:rsidR="002916F0" w:rsidRPr="00527501" w:rsidRDefault="002C3C80" w:rsidP="009805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C80">
              <w:rPr>
                <w:sz w:val="20"/>
                <w:szCs w:val="20"/>
              </w:rPr>
              <w:t>Az átutalásos számlatömbben található információk tartalmi irányultsága</w:t>
            </w:r>
            <w:r>
              <w:rPr>
                <w:sz w:val="20"/>
                <w:szCs w:val="20"/>
              </w:rPr>
              <w:t xml:space="preserve">. </w:t>
            </w:r>
            <w:r w:rsidRPr="002C3C80">
              <w:rPr>
                <w:sz w:val="20"/>
                <w:szCs w:val="20"/>
              </w:rPr>
              <w:t>Elektronikus számla formátuma, tartalmi elemei, kitöltésének szabályai, archiválása</w:t>
            </w:r>
            <w:r w:rsidR="00E35C0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12240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02B9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7" w:type="dxa"/>
            <w:vAlign w:val="center"/>
          </w:tcPr>
          <w:p w:rsidR="002916F0" w:rsidRPr="009B6659" w:rsidRDefault="00980570" w:rsidP="002121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916F0" w:rsidRPr="009B6659" w:rsidRDefault="002916F0" w:rsidP="002121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6659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2121C5" w:rsidTr="002122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sz w:val="24"/>
                <w:szCs w:val="24"/>
              </w:rPr>
              <w:t>140</w:t>
            </w:r>
          </w:p>
        </w:tc>
        <w:tc>
          <w:tcPr>
            <w:tcW w:w="4747" w:type="dxa"/>
            <w:vAlign w:val="center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21C5">
              <w:rPr>
                <w:sz w:val="24"/>
                <w:szCs w:val="24"/>
              </w:rPr>
              <w:t>A felület-előkészítés, fényezés gyakorlata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2121C5" w:rsidRDefault="002916F0" w:rsidP="002121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16F0" w:rsidRPr="009B6659" w:rsidTr="0021224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D902B9">
              <w:rPr>
                <w:sz w:val="20"/>
                <w:szCs w:val="28"/>
              </w:rPr>
              <w:t>40</w:t>
            </w:r>
          </w:p>
        </w:tc>
        <w:tc>
          <w:tcPr>
            <w:tcW w:w="4747" w:type="dxa"/>
            <w:vAlign w:val="center"/>
          </w:tcPr>
          <w:p w:rsidR="002916F0" w:rsidRPr="002F1752" w:rsidRDefault="002916F0" w:rsidP="002121C5">
            <w:pPr>
              <w:spacing w:line="276" w:lineRule="auto"/>
              <w:jc w:val="center"/>
              <w:rPr>
                <w:sz w:val="20"/>
              </w:rPr>
            </w:pPr>
            <w:r w:rsidRPr="002F1752">
              <w:rPr>
                <w:sz w:val="20"/>
              </w:rPr>
              <w:t>Kittelés előtti felület előkészítések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Kittelés előtti felület előkészítések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Kittelés előtti felület előkészítések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Kittelés előtti felület előkészítések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Kittelés előtti felület előkészítések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Kittelés előtti felület előkészítések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Kittelés előtti felület előkészítések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1224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7" w:type="dxa"/>
            <w:vAlign w:val="center"/>
          </w:tcPr>
          <w:p w:rsidR="002916F0" w:rsidRPr="002F1752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F1752">
              <w:rPr>
                <w:color w:val="000000"/>
                <w:sz w:val="20"/>
                <w:szCs w:val="20"/>
              </w:rPr>
              <w:t>Kittfelhordások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Kittfelhordások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Kittfelhordások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Kittfelhordások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Kittfelhordások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1224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7" w:type="dxa"/>
            <w:vAlign w:val="center"/>
          </w:tcPr>
          <w:p w:rsidR="002916F0" w:rsidRPr="002F1752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F1752">
              <w:rPr>
                <w:color w:val="000000"/>
                <w:sz w:val="20"/>
                <w:szCs w:val="20"/>
              </w:rPr>
              <w:t>Kittcsiszolások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Kittcsiszolások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Kittcsiszolások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Kittcsiszolások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Kittcsiszolások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1224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7" w:type="dxa"/>
            <w:vAlign w:val="center"/>
          </w:tcPr>
          <w:p w:rsidR="002916F0" w:rsidRPr="002F1752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F1752">
              <w:rPr>
                <w:color w:val="000000"/>
                <w:sz w:val="20"/>
                <w:szCs w:val="20"/>
              </w:rPr>
              <w:t>Előkészítő, díszítő technológiák alkalmazása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Előkészítő, díszítő technológiák alkalmazása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Előkészítő, díszítő technológiák alkalmazása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Előkészítő, díszítő technológiák alkalmazása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6659">
              <w:rPr>
                <w:color w:val="000000"/>
                <w:sz w:val="20"/>
                <w:szCs w:val="20"/>
              </w:rPr>
              <w:t>Előkészítő, díszítő technológiák alkalmazása</w:t>
            </w:r>
            <w:r w:rsidR="00E35C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1224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7" w:type="dxa"/>
            <w:vAlign w:val="center"/>
          </w:tcPr>
          <w:p w:rsidR="002916F0" w:rsidRPr="002F1752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F1752">
              <w:rPr>
                <w:color w:val="000000"/>
                <w:sz w:val="20"/>
                <w:szCs w:val="20"/>
              </w:rPr>
              <w:t>Kőfelverődés elleni és üregvédelmi technológiák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902B9">
              <w:rPr>
                <w:color w:val="000000"/>
                <w:sz w:val="20"/>
              </w:rPr>
              <w:t>5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</w:rPr>
            </w:pPr>
            <w:r w:rsidRPr="009B6659">
              <w:rPr>
                <w:color w:val="000000"/>
                <w:sz w:val="20"/>
              </w:rPr>
              <w:t>Kőfelverődés elleni és üregvédelmi technológiák</w:t>
            </w:r>
            <w:r w:rsidR="00E35C03">
              <w:rPr>
                <w:color w:val="000000"/>
                <w:sz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902B9">
              <w:rPr>
                <w:color w:val="000000"/>
                <w:sz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</w:rPr>
            </w:pPr>
            <w:r w:rsidRPr="009B6659">
              <w:rPr>
                <w:color w:val="000000"/>
                <w:sz w:val="20"/>
              </w:rPr>
              <w:t>Kőfelverődés elleni és üregvédelmi technológiák</w:t>
            </w:r>
            <w:r w:rsidR="00E35C03">
              <w:rPr>
                <w:color w:val="000000"/>
                <w:sz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902B9">
              <w:rPr>
                <w:color w:val="000000"/>
                <w:sz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</w:rPr>
            </w:pPr>
            <w:r w:rsidRPr="009B6659">
              <w:rPr>
                <w:color w:val="000000"/>
                <w:sz w:val="20"/>
              </w:rPr>
              <w:t>Kőfelverődés elleni és üregvédelmi technológiák</w:t>
            </w:r>
            <w:r w:rsidR="00E35C03">
              <w:rPr>
                <w:color w:val="000000"/>
                <w:sz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902B9">
              <w:rPr>
                <w:color w:val="000000"/>
                <w:sz w:val="20"/>
              </w:rPr>
              <w:t>1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color w:val="000000"/>
                <w:sz w:val="20"/>
              </w:rPr>
            </w:pPr>
            <w:r w:rsidRPr="009B6659">
              <w:rPr>
                <w:color w:val="000000"/>
                <w:sz w:val="20"/>
              </w:rPr>
              <w:t>Kőfelverődés elleni és üregvédelmi technológiák</w:t>
            </w:r>
            <w:r w:rsidR="00E35C03">
              <w:rPr>
                <w:color w:val="000000"/>
                <w:sz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21224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902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7" w:type="dxa"/>
            <w:vAlign w:val="center"/>
          </w:tcPr>
          <w:p w:rsidR="002916F0" w:rsidRPr="002F1752" w:rsidRDefault="002916F0" w:rsidP="002121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F1752">
              <w:rPr>
                <w:color w:val="000000"/>
                <w:sz w:val="20"/>
                <w:szCs w:val="20"/>
              </w:rPr>
              <w:t>Karbantartási műveletek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</w:rPr>
            </w:pPr>
            <w:r w:rsidRPr="00D902B9">
              <w:rPr>
                <w:sz w:val="20"/>
              </w:rPr>
              <w:t>6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</w:pPr>
            <w:r w:rsidRPr="009B6659">
              <w:rPr>
                <w:sz w:val="20"/>
              </w:rPr>
              <w:t>Karbantartási műveletek</w:t>
            </w:r>
            <w:r w:rsidR="00E35C03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</w:rPr>
            </w:pPr>
            <w:r w:rsidRPr="00D902B9">
              <w:rPr>
                <w:sz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b/>
              </w:rPr>
            </w:pPr>
            <w:r w:rsidRPr="009B6659">
              <w:rPr>
                <w:sz w:val="20"/>
              </w:rPr>
              <w:t>Karbantartási műveletek</w:t>
            </w:r>
            <w:r w:rsidR="00E35C03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6F0" w:rsidRPr="009B6659" w:rsidTr="00980570">
        <w:trPr>
          <w:trHeight w:val="794"/>
        </w:trPr>
        <w:tc>
          <w:tcPr>
            <w:tcW w:w="660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916F0" w:rsidRPr="00D902B9" w:rsidRDefault="002916F0" w:rsidP="002121C5">
            <w:pPr>
              <w:spacing w:line="276" w:lineRule="auto"/>
              <w:jc w:val="center"/>
              <w:rPr>
                <w:sz w:val="20"/>
              </w:rPr>
            </w:pPr>
            <w:r w:rsidRPr="00D902B9">
              <w:rPr>
                <w:sz w:val="20"/>
              </w:rPr>
              <w:t>7</w:t>
            </w:r>
          </w:p>
        </w:tc>
        <w:tc>
          <w:tcPr>
            <w:tcW w:w="4747" w:type="dxa"/>
          </w:tcPr>
          <w:p w:rsidR="002916F0" w:rsidRPr="009B6659" w:rsidRDefault="002916F0" w:rsidP="00980570">
            <w:pPr>
              <w:spacing w:line="276" w:lineRule="auto"/>
              <w:rPr>
                <w:b/>
              </w:rPr>
            </w:pPr>
            <w:r w:rsidRPr="009B6659">
              <w:rPr>
                <w:sz w:val="20"/>
              </w:rPr>
              <w:t>Karbantartási műveletek</w:t>
            </w:r>
            <w:r w:rsidR="00E35C03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916F0" w:rsidRPr="009B6659" w:rsidRDefault="002916F0" w:rsidP="002121C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8461B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18" w:rsidRDefault="00F20918" w:rsidP="00B2485D">
      <w:r>
        <w:separator/>
      </w:r>
    </w:p>
  </w:endnote>
  <w:endnote w:type="continuationSeparator" w:id="1">
    <w:p w:rsidR="00F20918" w:rsidRDefault="00F2091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8461B" w:rsidRDefault="000C54D9">
        <w:pPr>
          <w:pStyle w:val="llb"/>
          <w:jc w:val="center"/>
        </w:pPr>
        <w:fldSimple w:instr="PAGE   \* MERGEFORMAT">
          <w:r w:rsidR="00553EE7">
            <w:rPr>
              <w:noProof/>
            </w:rPr>
            <w:t>4</w:t>
          </w:r>
        </w:fldSimple>
      </w:p>
    </w:sdtContent>
  </w:sdt>
  <w:p w:rsidR="0028461B" w:rsidRDefault="0028461B" w:rsidP="00244D8E">
    <w:pPr>
      <w:pStyle w:val="llb"/>
      <w:jc w:val="center"/>
    </w:pPr>
    <w:r>
      <w:t>3452503.09evf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18" w:rsidRDefault="00F20918" w:rsidP="00B2485D">
      <w:r>
        <w:separator/>
      </w:r>
    </w:p>
  </w:footnote>
  <w:footnote w:type="continuationSeparator" w:id="1">
    <w:p w:rsidR="00F20918" w:rsidRDefault="00F20918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1B" w:rsidRPr="00340762" w:rsidRDefault="0028461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5848"/>
    <w:rsid w:val="00061263"/>
    <w:rsid w:val="00083158"/>
    <w:rsid w:val="00090A1B"/>
    <w:rsid w:val="000A4325"/>
    <w:rsid w:val="000A46D8"/>
    <w:rsid w:val="000B579E"/>
    <w:rsid w:val="000C54D9"/>
    <w:rsid w:val="000D76F5"/>
    <w:rsid w:val="001411B8"/>
    <w:rsid w:val="00164A00"/>
    <w:rsid w:val="0017586F"/>
    <w:rsid w:val="00183A93"/>
    <w:rsid w:val="00195CEE"/>
    <w:rsid w:val="001E572A"/>
    <w:rsid w:val="002121C5"/>
    <w:rsid w:val="00212240"/>
    <w:rsid w:val="00244D8E"/>
    <w:rsid w:val="00256EE0"/>
    <w:rsid w:val="00264B0B"/>
    <w:rsid w:val="0028461B"/>
    <w:rsid w:val="002916F0"/>
    <w:rsid w:val="002A7E89"/>
    <w:rsid w:val="002B6D9D"/>
    <w:rsid w:val="002C3C80"/>
    <w:rsid w:val="002E6AD5"/>
    <w:rsid w:val="002F1752"/>
    <w:rsid w:val="00326079"/>
    <w:rsid w:val="00330B7C"/>
    <w:rsid w:val="00340762"/>
    <w:rsid w:val="00340CD5"/>
    <w:rsid w:val="0035197E"/>
    <w:rsid w:val="003A3CDC"/>
    <w:rsid w:val="003E5C54"/>
    <w:rsid w:val="003F3D20"/>
    <w:rsid w:val="00416454"/>
    <w:rsid w:val="00424FB3"/>
    <w:rsid w:val="004260FE"/>
    <w:rsid w:val="004749E0"/>
    <w:rsid w:val="004C3926"/>
    <w:rsid w:val="004C7770"/>
    <w:rsid w:val="004F3AF4"/>
    <w:rsid w:val="00512211"/>
    <w:rsid w:val="005270A9"/>
    <w:rsid w:val="00527501"/>
    <w:rsid w:val="0053370E"/>
    <w:rsid w:val="00553EE7"/>
    <w:rsid w:val="00567BE7"/>
    <w:rsid w:val="005F1E25"/>
    <w:rsid w:val="006378FB"/>
    <w:rsid w:val="006809A2"/>
    <w:rsid w:val="006C591C"/>
    <w:rsid w:val="00703883"/>
    <w:rsid w:val="007048E2"/>
    <w:rsid w:val="00757538"/>
    <w:rsid w:val="00774322"/>
    <w:rsid w:val="007E068D"/>
    <w:rsid w:val="00842517"/>
    <w:rsid w:val="008556A6"/>
    <w:rsid w:val="008621EF"/>
    <w:rsid w:val="00867AE4"/>
    <w:rsid w:val="00870A5F"/>
    <w:rsid w:val="008C0910"/>
    <w:rsid w:val="008F034E"/>
    <w:rsid w:val="009108A5"/>
    <w:rsid w:val="009275E3"/>
    <w:rsid w:val="0095350F"/>
    <w:rsid w:val="00970079"/>
    <w:rsid w:val="00971AB4"/>
    <w:rsid w:val="00980570"/>
    <w:rsid w:val="009B6659"/>
    <w:rsid w:val="009E2592"/>
    <w:rsid w:val="009E380E"/>
    <w:rsid w:val="009F0791"/>
    <w:rsid w:val="009F6A18"/>
    <w:rsid w:val="00A36C73"/>
    <w:rsid w:val="00AA2B5E"/>
    <w:rsid w:val="00AB22E3"/>
    <w:rsid w:val="00AB3477"/>
    <w:rsid w:val="00AD7315"/>
    <w:rsid w:val="00AE140A"/>
    <w:rsid w:val="00B03D8D"/>
    <w:rsid w:val="00B2485D"/>
    <w:rsid w:val="00B94DDF"/>
    <w:rsid w:val="00B96A2C"/>
    <w:rsid w:val="00BF7A62"/>
    <w:rsid w:val="00C06FC6"/>
    <w:rsid w:val="00C206C7"/>
    <w:rsid w:val="00C6286A"/>
    <w:rsid w:val="00C71D01"/>
    <w:rsid w:val="00CA663C"/>
    <w:rsid w:val="00CB6718"/>
    <w:rsid w:val="00CD7BC0"/>
    <w:rsid w:val="00D07254"/>
    <w:rsid w:val="00D4053D"/>
    <w:rsid w:val="00D77CC4"/>
    <w:rsid w:val="00D902B9"/>
    <w:rsid w:val="00D92F7F"/>
    <w:rsid w:val="00D93ACD"/>
    <w:rsid w:val="00DC4068"/>
    <w:rsid w:val="00DD0B29"/>
    <w:rsid w:val="00DD7EBB"/>
    <w:rsid w:val="00DE6760"/>
    <w:rsid w:val="00E35C03"/>
    <w:rsid w:val="00E53A8E"/>
    <w:rsid w:val="00EE1596"/>
    <w:rsid w:val="00F20918"/>
    <w:rsid w:val="00F22839"/>
    <w:rsid w:val="00F55601"/>
    <w:rsid w:val="00F64AD2"/>
    <w:rsid w:val="00F66759"/>
    <w:rsid w:val="00F667F4"/>
    <w:rsid w:val="00FE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5E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275E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275E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275E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275E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275E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275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275E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275E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275E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275E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1732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2017-10-23T16:09:00Z</dcterms:created>
  <dcterms:modified xsi:type="dcterms:W3CDTF">2017-11-09T19:37:00Z</dcterms:modified>
</cp:coreProperties>
</file>